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9F" w:rsidRDefault="005A1E9F">
      <w:r>
        <w:rPr>
          <w:noProof/>
        </w:rPr>
        <w:pict>
          <v:shapetype id="_x0000_t202" coordsize="21600,21600" o:spt="202" path="m,l,21600r21600,l21600,xe">
            <v:stroke joinstyle="miter"/>
            <v:path gradientshapeok="t" o:connecttype="rect"/>
          </v:shapetype>
          <v:shape id="_x0000_s1042" type="#_x0000_t202" style="position:absolute;margin-left:-21.45pt;margin-top:30pt;width:509.15pt;height:687.3pt;z-index:251662336" filled="f" stroked="f">
            <v:textbox style="mso-next-textbox:#_x0000_s1042">
              <w:txbxContent>
                <w:p w:rsidR="005A1E9F" w:rsidRDefault="00F630C3">
                  <w:pPr>
                    <w:rPr>
                      <w:rFonts w:asciiTheme="majorHAnsi" w:hAnsiTheme="majorHAnsi" w:cs="Mangal"/>
                      <w:sz w:val="26"/>
                      <w:szCs w:val="24"/>
                    </w:rPr>
                  </w:pPr>
                  <w:r>
                    <w:rPr>
                      <w:rFonts w:asciiTheme="majorHAnsi" w:hAnsiTheme="majorHAnsi" w:cs="Mangal"/>
                      <w:sz w:val="26"/>
                      <w:szCs w:val="24"/>
                    </w:rPr>
                    <w:t>To,</w:t>
                  </w:r>
                </w:p>
                <w:p w:rsidR="005A1E9F" w:rsidRDefault="00F630C3">
                  <w:pPr>
                    <w:spacing w:line="360" w:lineRule="auto"/>
                    <w:rPr>
                      <w:rFonts w:asciiTheme="majorHAnsi" w:hAnsiTheme="majorHAnsi" w:cs="Mangal"/>
                      <w:sz w:val="26"/>
                      <w:szCs w:val="24"/>
                    </w:rPr>
                  </w:pPr>
                  <w:r>
                    <w:rPr>
                      <w:rFonts w:asciiTheme="majorHAnsi" w:hAnsiTheme="majorHAnsi" w:cs="Mangal"/>
                      <w:sz w:val="26"/>
                      <w:szCs w:val="24"/>
                    </w:rPr>
                    <w:t xml:space="preserve"> </w:t>
                  </w:r>
                </w:p>
                <w:p w:rsidR="005A1E9F" w:rsidRDefault="00F630C3">
                  <w:pPr>
                    <w:spacing w:line="360" w:lineRule="auto"/>
                    <w:rPr>
                      <w:rFonts w:asciiTheme="majorHAnsi" w:hAnsiTheme="majorHAnsi" w:cs="Mangal"/>
                      <w:sz w:val="26"/>
                      <w:szCs w:val="24"/>
                    </w:rPr>
                  </w:pPr>
                  <w:r>
                    <w:rPr>
                      <w:rFonts w:asciiTheme="majorHAnsi" w:hAnsiTheme="majorHAnsi" w:cs="Mangal"/>
                      <w:sz w:val="26"/>
                      <w:szCs w:val="24"/>
                    </w:rPr>
                    <w:t xml:space="preserve">The Regional Provident Fund Commissioner, </w:t>
                  </w:r>
                  <w:proofErr w:type="gramStart"/>
                  <w:r>
                    <w:rPr>
                      <w:rFonts w:asciiTheme="majorHAnsi" w:hAnsiTheme="majorHAnsi" w:cs="Mangal"/>
                      <w:sz w:val="26"/>
                      <w:szCs w:val="24"/>
                    </w:rPr>
                    <w:t>Regional  Office</w:t>
                  </w:r>
                  <w:proofErr w:type="gramEnd"/>
                  <w:r>
                    <w:rPr>
                      <w:rFonts w:asciiTheme="majorHAnsi" w:hAnsiTheme="majorHAnsi" w:cs="Mangal"/>
                      <w:sz w:val="26"/>
                      <w:szCs w:val="24"/>
                    </w:rPr>
                    <w:t>,      </w:t>
                  </w:r>
                  <w:r>
                    <w:rPr>
                      <w:rFonts w:asciiTheme="majorHAnsi" w:hAnsiTheme="majorHAnsi" w:cs="Mangal"/>
                      <w:sz w:val="26"/>
                      <w:szCs w:val="24"/>
                    </w:rPr>
                    <w:br/>
                    <w:t xml:space="preserve">37, </w:t>
                  </w:r>
                  <w:proofErr w:type="spellStart"/>
                  <w:r>
                    <w:rPr>
                      <w:rFonts w:asciiTheme="majorHAnsi" w:hAnsiTheme="majorHAnsi" w:cs="Mangal"/>
                      <w:sz w:val="26"/>
                      <w:szCs w:val="24"/>
                    </w:rPr>
                    <w:t>Royapettah</w:t>
                  </w:r>
                  <w:proofErr w:type="spellEnd"/>
                  <w:r>
                    <w:rPr>
                      <w:rFonts w:asciiTheme="majorHAnsi" w:hAnsiTheme="majorHAnsi" w:cs="Mangal"/>
                      <w:sz w:val="26"/>
                      <w:szCs w:val="24"/>
                    </w:rPr>
                    <w:t xml:space="preserve"> High Road, </w:t>
                  </w:r>
                  <w:r>
                    <w:rPr>
                      <w:rFonts w:asciiTheme="majorHAnsi" w:hAnsiTheme="majorHAnsi" w:cs="Mangal"/>
                      <w:sz w:val="26"/>
                      <w:szCs w:val="24"/>
                    </w:rPr>
                    <w:br/>
                    <w:t>Chennai – 600014. </w:t>
                  </w:r>
                </w:p>
                <w:p w:rsidR="005A1E9F" w:rsidRDefault="005A1E9F">
                  <w:pPr>
                    <w:pStyle w:val="Default"/>
                    <w:jc w:val="both"/>
                    <w:rPr>
                      <w:rFonts w:asciiTheme="majorHAnsi" w:hAnsiTheme="majorHAnsi" w:cs="Mangal"/>
                      <w:b/>
                      <w:sz w:val="26"/>
                    </w:rPr>
                  </w:pPr>
                </w:p>
                <w:p w:rsidR="005A1E9F" w:rsidRDefault="00F630C3">
                  <w:pPr>
                    <w:pStyle w:val="Default"/>
                    <w:jc w:val="both"/>
                    <w:rPr>
                      <w:rFonts w:ascii="Mangal" w:hAnsi="Mangal" w:cs="Mangal"/>
                      <w:sz w:val="26"/>
                    </w:rPr>
                  </w:pPr>
                  <w:r>
                    <w:rPr>
                      <w:rFonts w:ascii="Mangal" w:hAnsi="Mangal" w:cs="Mangal"/>
                      <w:b/>
                      <w:color w:val="7030A0"/>
                      <w:sz w:val="28"/>
                    </w:rPr>
                    <w:t>Sub:</w:t>
                  </w:r>
                  <w:r>
                    <w:rPr>
                      <w:rFonts w:ascii="Mangal" w:hAnsi="Mangal" w:cs="Mangal"/>
                      <w:sz w:val="26"/>
                    </w:rPr>
                    <w:t xml:space="preserve"> Extension of Employees’ Provident Funds and Miscellaneous Provisions Act, 1952 under Section 1(4) to </w:t>
                  </w:r>
                  <w:r>
                    <w:rPr>
                      <w:rFonts w:ascii="Mangal" w:hAnsi="Mangal" w:cs="Mangal"/>
                      <w:b/>
                      <w:sz w:val="26"/>
                    </w:rPr>
                    <w:t>M/s …………………………………………………</w:t>
                  </w:r>
                  <w:r>
                    <w:rPr>
                      <w:rFonts w:ascii="Mangal" w:hAnsi="Mangal" w:cs="Mangal"/>
                      <w:sz w:val="26"/>
                    </w:rPr>
                    <w:t xml:space="preserve">, </w:t>
                  </w:r>
                  <w:r>
                    <w:rPr>
                      <w:rFonts w:ascii="Mangal" w:hAnsi="Mangal" w:cs="Mangal"/>
                      <w:sz w:val="26"/>
                    </w:rPr>
                    <w:t>(including branches, etc.) – Consent of majority of Employees – Regarding</w:t>
                  </w:r>
                </w:p>
                <w:p w:rsidR="005A1E9F" w:rsidRDefault="005A1E9F">
                  <w:pPr>
                    <w:pStyle w:val="Default"/>
                    <w:rPr>
                      <w:rFonts w:asciiTheme="majorHAnsi" w:hAnsiTheme="majorHAnsi" w:cs="Mangal"/>
                      <w:sz w:val="26"/>
                    </w:rPr>
                  </w:pPr>
                </w:p>
                <w:p w:rsidR="005A1E9F" w:rsidRDefault="00F630C3">
                  <w:pPr>
                    <w:pStyle w:val="Default"/>
                    <w:rPr>
                      <w:rFonts w:asciiTheme="majorHAnsi" w:hAnsiTheme="majorHAnsi" w:cs="Mangal"/>
                      <w:sz w:val="26"/>
                    </w:rPr>
                  </w:pPr>
                  <w:r>
                    <w:rPr>
                      <w:rFonts w:asciiTheme="majorHAnsi" w:hAnsiTheme="majorHAnsi" w:cs="Mangal"/>
                      <w:sz w:val="26"/>
                    </w:rPr>
                    <w:t>Sir,</w:t>
                  </w:r>
                </w:p>
                <w:p w:rsidR="005A1E9F" w:rsidRDefault="005A1E9F">
                  <w:pPr>
                    <w:pStyle w:val="Default"/>
                    <w:rPr>
                      <w:rFonts w:asciiTheme="majorHAnsi" w:hAnsiTheme="majorHAnsi" w:cs="Mangal"/>
                      <w:sz w:val="26"/>
                    </w:rPr>
                  </w:pPr>
                </w:p>
                <w:p w:rsidR="005A1E9F" w:rsidRDefault="00F630C3">
                  <w:pPr>
                    <w:pStyle w:val="Default"/>
                    <w:spacing w:line="360" w:lineRule="auto"/>
                    <w:jc w:val="both"/>
                    <w:rPr>
                      <w:rFonts w:asciiTheme="majorHAnsi" w:hAnsiTheme="majorHAnsi" w:cs="Mangal"/>
                      <w:sz w:val="26"/>
                    </w:rPr>
                  </w:pPr>
                  <w:r>
                    <w:rPr>
                      <w:rFonts w:asciiTheme="majorHAnsi" w:hAnsiTheme="majorHAnsi" w:cs="Mangal"/>
                      <w:sz w:val="26"/>
                    </w:rPr>
                    <w:t xml:space="preserve"> We the undersigned majority of employees of  </w:t>
                  </w:r>
                  <w:r>
                    <w:rPr>
                      <w:rFonts w:asciiTheme="majorHAnsi" w:hAnsiTheme="majorHAnsi" w:cs="Mangal"/>
                      <w:b/>
                      <w:sz w:val="26"/>
                    </w:rPr>
                    <w:t>……………………………………………</w:t>
                  </w:r>
                  <w:r>
                    <w:rPr>
                      <w:rFonts w:asciiTheme="majorHAnsi" w:hAnsiTheme="majorHAnsi" w:cs="Mangal"/>
                      <w:sz w:val="26"/>
                    </w:rPr>
                    <w:t>(Including branches etc.) do hereby consent and apply to be covered under the Employees’ Provident Funds and Mis</w:t>
                  </w:r>
                  <w:r>
                    <w:rPr>
                      <w:rFonts w:asciiTheme="majorHAnsi" w:hAnsiTheme="majorHAnsi" w:cs="Mangal"/>
                      <w:sz w:val="26"/>
                    </w:rPr>
                    <w:t xml:space="preserve">cellaneous Provisions Act, 1952 on voluntary basis with effect from </w:t>
                  </w:r>
                  <w:r>
                    <w:rPr>
                      <w:rFonts w:asciiTheme="majorHAnsi" w:hAnsiTheme="majorHAnsi" w:cs="Mangal"/>
                      <w:b/>
                      <w:sz w:val="26"/>
                    </w:rPr>
                    <w:t>DD MM YY</w:t>
                  </w:r>
                  <w:r>
                    <w:rPr>
                      <w:rFonts w:asciiTheme="majorHAnsi" w:hAnsiTheme="majorHAnsi" w:cs="Mangal"/>
                      <w:sz w:val="26"/>
                    </w:rPr>
                    <w:t xml:space="preserve"> the last date of the month in which the notification is published in the Gazette of India, and we are willing to pay our share of Provident Fund contribution at the rate of </w:t>
                  </w:r>
                  <w:r>
                    <w:rPr>
                      <w:rFonts w:asciiTheme="majorHAnsi" w:hAnsiTheme="majorHAnsi" w:cs="Mangal"/>
                      <w:b/>
                      <w:sz w:val="26"/>
                    </w:rPr>
                    <w:t>…………….</w:t>
                  </w:r>
                  <w:r>
                    <w:rPr>
                      <w:rFonts w:asciiTheme="majorHAnsi" w:hAnsiTheme="majorHAnsi" w:cs="Mangal"/>
                      <w:sz w:val="26"/>
                    </w:rPr>
                    <w:t xml:space="preserve"> % We also undertake to abide by the requirements of the said statute and the rules framed there under as amended from time to time.</w:t>
                  </w:r>
                </w:p>
                <w:p w:rsidR="005A1E9F" w:rsidRDefault="005A1E9F">
                  <w:pPr>
                    <w:pStyle w:val="Default"/>
                    <w:spacing w:line="360" w:lineRule="auto"/>
                    <w:jc w:val="both"/>
                    <w:rPr>
                      <w:rFonts w:asciiTheme="majorHAnsi" w:hAnsiTheme="majorHAnsi" w:cs="Mangal"/>
                      <w:sz w:val="26"/>
                    </w:rPr>
                  </w:pPr>
                </w:p>
                <w:p w:rsidR="005A1E9F" w:rsidRDefault="00F630C3">
                  <w:pPr>
                    <w:pStyle w:val="Default"/>
                    <w:jc w:val="both"/>
                    <w:rPr>
                      <w:rFonts w:asciiTheme="majorHAnsi" w:hAnsiTheme="majorHAnsi" w:cs="Mangal"/>
                      <w:sz w:val="26"/>
                    </w:rPr>
                  </w:pPr>
                  <w:r>
                    <w:rPr>
                      <w:rFonts w:asciiTheme="majorHAnsi" w:hAnsiTheme="majorHAnsi" w:cs="Mangal"/>
                      <w:sz w:val="26"/>
                    </w:rPr>
                    <w:t xml:space="preserve"> We request that necessary notification under Section 1(4) of the Act may be issued at an early date.</w:t>
                  </w:r>
                </w:p>
                <w:p w:rsidR="005A1E9F" w:rsidRDefault="005A1E9F">
                  <w:pPr>
                    <w:pStyle w:val="Default"/>
                    <w:jc w:val="both"/>
                    <w:rPr>
                      <w:rFonts w:asciiTheme="majorHAnsi" w:hAnsiTheme="majorHAnsi" w:cs="Mangal"/>
                      <w:sz w:val="26"/>
                    </w:rPr>
                  </w:pPr>
                </w:p>
                <w:p w:rsidR="005A1E9F" w:rsidRDefault="005A1E9F">
                  <w:pPr>
                    <w:pStyle w:val="Default"/>
                    <w:jc w:val="both"/>
                    <w:rPr>
                      <w:rFonts w:asciiTheme="majorHAnsi" w:hAnsiTheme="majorHAnsi" w:cs="Mangal"/>
                      <w:sz w:val="26"/>
                    </w:rPr>
                  </w:pPr>
                </w:p>
                <w:p w:rsidR="005A1E9F" w:rsidRDefault="00F630C3">
                  <w:pPr>
                    <w:pStyle w:val="Default"/>
                    <w:rPr>
                      <w:rFonts w:asciiTheme="majorHAnsi" w:hAnsiTheme="majorHAnsi" w:cs="Mangal"/>
                      <w:sz w:val="26"/>
                    </w:rPr>
                  </w:pPr>
                  <w:r>
                    <w:rPr>
                      <w:rFonts w:asciiTheme="majorHAnsi" w:hAnsiTheme="majorHAnsi" w:cs="Mangal"/>
                      <w:sz w:val="26"/>
                    </w:rPr>
                    <w:t>For ……………………………………</w:t>
                  </w:r>
                  <w:r>
                    <w:rPr>
                      <w:rFonts w:asciiTheme="majorHAnsi" w:hAnsiTheme="majorHAnsi" w:cs="Mangal"/>
                      <w:sz w:val="26"/>
                    </w:rPr>
                    <w:t>……………</w:t>
                  </w:r>
                </w:p>
                <w:p w:rsidR="005A1E9F" w:rsidRDefault="005A1E9F">
                  <w:pPr>
                    <w:pStyle w:val="Default"/>
                    <w:rPr>
                      <w:rFonts w:asciiTheme="majorHAnsi" w:hAnsiTheme="majorHAnsi" w:cs="Mangal"/>
                      <w:sz w:val="26"/>
                    </w:rPr>
                  </w:pPr>
                </w:p>
                <w:p w:rsidR="005A1E9F" w:rsidRDefault="005A1E9F">
                  <w:pPr>
                    <w:pStyle w:val="Default"/>
                    <w:rPr>
                      <w:rFonts w:asciiTheme="majorHAnsi" w:hAnsiTheme="majorHAnsi" w:cs="Mangal"/>
                      <w:sz w:val="26"/>
                    </w:rPr>
                  </w:pPr>
                </w:p>
                <w:p w:rsidR="005A1E9F" w:rsidRDefault="005A1E9F">
                  <w:pPr>
                    <w:pStyle w:val="Default"/>
                    <w:rPr>
                      <w:rFonts w:asciiTheme="majorHAnsi" w:hAnsiTheme="majorHAnsi" w:cs="Mangal"/>
                      <w:color w:val="7030A0"/>
                      <w:sz w:val="30"/>
                    </w:rPr>
                  </w:pPr>
                </w:p>
                <w:p w:rsidR="005A1E9F" w:rsidRDefault="00F630C3">
                  <w:pPr>
                    <w:pStyle w:val="Default"/>
                    <w:rPr>
                      <w:rFonts w:asciiTheme="majorHAnsi" w:hAnsiTheme="majorHAnsi" w:cs="Mangal"/>
                      <w:color w:val="7030A0"/>
                      <w:sz w:val="30"/>
                    </w:rPr>
                  </w:pPr>
                  <w:r>
                    <w:rPr>
                      <w:rFonts w:asciiTheme="majorHAnsi" w:hAnsiTheme="majorHAnsi" w:cs="Mangal"/>
                      <w:color w:val="7030A0"/>
                      <w:sz w:val="30"/>
                    </w:rPr>
                    <w:t>Authorized Signatory</w:t>
                  </w:r>
                </w:p>
                <w:p w:rsidR="005A1E9F" w:rsidRDefault="005A1E9F">
                  <w:pPr>
                    <w:rPr>
                      <w:rFonts w:asciiTheme="majorHAnsi" w:hAnsiTheme="majorHAnsi" w:cs="Mangal"/>
                      <w:sz w:val="26"/>
                    </w:rPr>
                  </w:pPr>
                </w:p>
              </w:txbxContent>
            </v:textbox>
          </v:shape>
        </w:pict>
      </w:r>
      <w:r>
        <w:rPr>
          <w:noProof/>
        </w:rPr>
        <w:pict>
          <v:shape id="_x0000_s1039" type="#_x0000_t202" style="position:absolute;margin-left:-39.65pt;margin-top:-69.5pt;width:103.75pt;height:91.25pt;z-index:251659264" filled="f" stroked="f">
            <v:textbox>
              <w:txbxContent>
                <w:p w:rsidR="005A1E9F" w:rsidRDefault="00F630C3">
                  <w:r>
                    <w:rPr>
                      <w:noProof/>
                    </w:rPr>
                    <w:drawing>
                      <wp:inline distT="0" distB="0" distL="0" distR="0">
                        <wp:extent cx="960664" cy="927267"/>
                        <wp:effectExtent l="19050" t="0" r="0" b="0"/>
                        <wp:docPr id="1" name="Picture 0" descr="EPF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FOLogo.jpg"/>
                                <pic:cNvPicPr/>
                              </pic:nvPicPr>
                              <pic:blipFill>
                                <a:blip r:embed="rId4"/>
                                <a:stretch>
                                  <a:fillRect/>
                                </a:stretch>
                              </pic:blipFill>
                              <pic:spPr>
                                <a:xfrm>
                                  <a:off x="0" y="0"/>
                                  <a:ext cx="964948" cy="931402"/>
                                </a:xfrm>
                                <a:prstGeom prst="rect">
                                  <a:avLst/>
                                </a:prstGeom>
                              </pic:spPr>
                            </pic:pic>
                          </a:graphicData>
                        </a:graphic>
                      </wp:inline>
                    </w:drawing>
                  </w:r>
                </w:p>
              </w:txbxContent>
            </v:textbox>
          </v:shape>
        </w:pict>
      </w:r>
      <w:r>
        <w:rPr>
          <w:noProof/>
        </w:rPr>
        <w:pict>
          <v:shape id="_x0000_s1040" type="#_x0000_t202" style="position:absolute;margin-left:55.7pt;margin-top:-60.85pt;width:439.7pt;height:77.15pt;z-index:251660288" filled="f" stroked="f">
            <v:textbox>
              <w:txbxContent>
                <w:p w:rsidR="005A1E9F" w:rsidRDefault="00F630C3">
                  <w:pPr>
                    <w:jc w:val="center"/>
                    <w:rPr>
                      <w:rFonts w:ascii="Cabin" w:hAnsi="Cabin"/>
                      <w:b/>
                      <w:sz w:val="32"/>
                      <w:szCs w:val="32"/>
                    </w:rPr>
                  </w:pPr>
                  <w:r>
                    <w:rPr>
                      <w:rFonts w:ascii="Cabin" w:hAnsi="Cabin"/>
                      <w:b/>
                      <w:sz w:val="32"/>
                      <w:szCs w:val="32"/>
                    </w:rPr>
                    <w:t xml:space="preserve">Consent Letter of Majority of Employees for Voluntary Coverage Under Section 1 </w:t>
                  </w:r>
                  <w:r>
                    <w:rPr>
                      <w:rFonts w:ascii="Cabin" w:hAnsi="Cabin"/>
                      <w:b/>
                      <w:sz w:val="32"/>
                      <w:szCs w:val="32"/>
                    </w:rPr>
                    <w:t xml:space="preserve">(4) </w:t>
                  </w:r>
                  <w:proofErr w:type="gramStart"/>
                  <w:r>
                    <w:rPr>
                      <w:rFonts w:ascii="Cabin" w:hAnsi="Cabin"/>
                      <w:b/>
                      <w:sz w:val="32"/>
                      <w:szCs w:val="32"/>
                    </w:rPr>
                    <w:t>of  the</w:t>
                  </w:r>
                  <w:proofErr w:type="gramEnd"/>
                  <w:r>
                    <w:rPr>
                      <w:rFonts w:ascii="Cabin" w:hAnsi="Cabin"/>
                      <w:b/>
                      <w:sz w:val="32"/>
                      <w:szCs w:val="32"/>
                    </w:rPr>
                    <w:t xml:space="preserve"> Employees' Provident Funds and Miscellaneous Provisions Act, 1952</w:t>
                  </w:r>
                </w:p>
              </w:txbxContent>
            </v:textbox>
          </v:shape>
        </w:pict>
      </w:r>
      <w:r>
        <w:pict>
          <v:group id="_x0000_s1044" editas="canvas" style="width:412.3pt;height:280.8pt;mso-position-horizontal-relative:char;mso-position-vertical-relative:line" coordorigin="3385,1851" coordsize="6343,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3385;top:1851;width:6343;height:4320" o:preferrelative="f">
              <v:fill o:detectmouseclick="t"/>
              <v:path o:extrusionok="t" o:connecttype="none"/>
              <o:lock v:ext="edit" text="t"/>
            </v:shape>
            <w10:wrap type="none"/>
            <w10:anchorlock/>
          </v:group>
        </w:pict>
      </w:r>
      <w:r w:rsidR="00F630C3">
        <w:br w:type="page"/>
      </w:r>
    </w:p>
    <w:p w:rsidR="005A1E9F" w:rsidRDefault="005A1E9F"/>
    <w:sectPr w:rsidR="005A1E9F" w:rsidSect="005A1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 w:name="Mangal">
    <w:panose1 w:val="02040503050203030202"/>
    <w:charset w:val="00"/>
    <w:family w:val="roman"/>
    <w:pitch w:val="variable"/>
    <w:sig w:usb0="00008003" w:usb1="00000000" w:usb2="00000000" w:usb3="00000000" w:csb0="00000001" w:csb1="00000000"/>
  </w:font>
  <w:font w:name="Cabin">
    <w:altName w:val="Harabara"/>
    <w:charset w:val="00"/>
    <w:family w:val="swiss"/>
    <w:pitch w:val="variable"/>
    <w:sig w:usb0="00000003" w:usb1="0000000B"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A1E9F"/>
    <w:rsid w:val="005A1E9F"/>
    <w:rsid w:val="00B205CC"/>
    <w:rsid w:val="00F63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1E9F"/>
    <w:rPr>
      <w:rFonts w:asciiTheme="minorHAnsi" w:eastAsiaTheme="minorEastAsia" w:hAnsiTheme="minorHAnsi"/>
      <w:sz w:val="22"/>
    </w:rPr>
  </w:style>
  <w:style w:type="character" w:customStyle="1" w:styleId="NoSpacingChar">
    <w:name w:val="No Spacing Char"/>
    <w:basedOn w:val="DefaultParagraphFont"/>
    <w:link w:val="NoSpacing"/>
    <w:uiPriority w:val="1"/>
    <w:rsid w:val="005A1E9F"/>
    <w:rPr>
      <w:rFonts w:asciiTheme="minorHAnsi" w:eastAsiaTheme="minorEastAsia" w:hAnsiTheme="minorHAnsi"/>
      <w:sz w:val="22"/>
    </w:rPr>
  </w:style>
  <w:style w:type="paragraph" w:styleId="BalloonText">
    <w:name w:val="Balloon Text"/>
    <w:basedOn w:val="Normal"/>
    <w:link w:val="BalloonTextChar"/>
    <w:uiPriority w:val="99"/>
    <w:semiHidden/>
    <w:unhideWhenUsed/>
    <w:rsid w:val="005A1E9F"/>
    <w:rPr>
      <w:rFonts w:ascii="Tahoma" w:hAnsi="Tahoma" w:cs="Tahoma"/>
      <w:sz w:val="16"/>
      <w:szCs w:val="16"/>
    </w:rPr>
  </w:style>
  <w:style w:type="character" w:customStyle="1" w:styleId="BalloonTextChar">
    <w:name w:val="Balloon Text Char"/>
    <w:basedOn w:val="DefaultParagraphFont"/>
    <w:link w:val="BalloonText"/>
    <w:uiPriority w:val="99"/>
    <w:semiHidden/>
    <w:rsid w:val="005A1E9F"/>
    <w:rPr>
      <w:rFonts w:ascii="Tahoma" w:hAnsi="Tahoma" w:cs="Tahoma"/>
      <w:sz w:val="16"/>
      <w:szCs w:val="16"/>
    </w:rPr>
  </w:style>
  <w:style w:type="paragraph" w:customStyle="1" w:styleId="Default">
    <w:name w:val="Default"/>
    <w:rsid w:val="005A1E9F"/>
    <w:pPr>
      <w:autoSpaceDE w:val="0"/>
      <w:autoSpaceDN w:val="0"/>
      <w:adjustRightInd w:val="0"/>
    </w:pPr>
    <w:rPr>
      <w:rFonts w:cs="Times New Roman"/>
      <w:color w:val="000000"/>
      <w:szCs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lekhraj</cp:lastModifiedBy>
  <cp:revision>2</cp:revision>
  <dcterms:created xsi:type="dcterms:W3CDTF">2014-08-18T10:16:00Z</dcterms:created>
  <dcterms:modified xsi:type="dcterms:W3CDTF">2014-08-18T11:22:00Z</dcterms:modified>
</cp:coreProperties>
</file>