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FB" w:rsidRPr="0074412E" w:rsidRDefault="000049FB" w:rsidP="000049FB">
      <w:pPr>
        <w:jc w:val="center"/>
        <w:rPr>
          <w:b/>
          <w:sz w:val="46"/>
          <w:u w:val="single"/>
        </w:rPr>
      </w:pPr>
      <w:r w:rsidRPr="0074412E">
        <w:rPr>
          <w:b/>
          <w:sz w:val="46"/>
          <w:u w:val="single"/>
        </w:rPr>
        <w:t>CUSTOM</w:t>
      </w:r>
    </w:p>
    <w:p w:rsidR="000049FB" w:rsidRDefault="000049FB" w:rsidP="000049FB">
      <w:pPr>
        <w:jc w:val="both"/>
      </w:pPr>
      <w:r>
        <w:t>Central Govt. has power of levy from list-I union list of the 7</w:t>
      </w:r>
      <w:r w:rsidRPr="00976873">
        <w:rPr>
          <w:vertAlign w:val="superscript"/>
        </w:rPr>
        <w:t>th</w:t>
      </w:r>
      <w:r>
        <w:t xml:space="preserve"> schedule to constitution.</w:t>
      </w:r>
    </w:p>
    <w:p w:rsidR="000049FB" w:rsidRDefault="000049FB" w:rsidP="000049FB">
      <w:pPr>
        <w:pStyle w:val="ListParagraph"/>
        <w:numPr>
          <w:ilvl w:val="0"/>
          <w:numId w:val="1"/>
        </w:numPr>
        <w:jc w:val="both"/>
      </w:pPr>
      <w:r>
        <w:t>Classification tariff of excise and customs are based on HSN and principles of classification are identical.</w:t>
      </w:r>
    </w:p>
    <w:p w:rsidR="000049FB" w:rsidRDefault="000049FB" w:rsidP="000049FB">
      <w:pPr>
        <w:pStyle w:val="ListParagraph"/>
        <w:numPr>
          <w:ilvl w:val="0"/>
          <w:numId w:val="1"/>
        </w:numPr>
        <w:jc w:val="both"/>
      </w:pPr>
      <w:r>
        <w:t>Customs duty is on imports into India and export out of India.</w:t>
      </w:r>
    </w:p>
    <w:p w:rsidR="000049FB" w:rsidRDefault="000049FB" w:rsidP="000049FB">
      <w:pPr>
        <w:pStyle w:val="ListParagraph"/>
        <w:numPr>
          <w:ilvl w:val="0"/>
          <w:numId w:val="1"/>
        </w:numPr>
        <w:jc w:val="both"/>
      </w:pPr>
      <w:r>
        <w:t>Sec. 12 of customs Act, often called charging section, provides that duties of customs shall be levied at such rates as may be specified under, “The Custom Tariff Act, 1975” (CUTA) or any other law for the time being in force, on goods imported in to, or exported from, India.</w:t>
      </w:r>
    </w:p>
    <w:p w:rsidR="000049FB" w:rsidRPr="00C42402" w:rsidRDefault="000049FB" w:rsidP="000049FB">
      <w:pPr>
        <w:jc w:val="both"/>
        <w:rPr>
          <w:b/>
        </w:rPr>
      </w:pPr>
      <w:r w:rsidRPr="00C42402">
        <w:rPr>
          <w:b/>
        </w:rPr>
        <w:t>Taxable event</w:t>
      </w:r>
    </w:p>
    <w:p w:rsidR="000049FB" w:rsidRDefault="000049FB" w:rsidP="000049FB">
      <w:pPr>
        <w:pStyle w:val="ListParagraph"/>
        <w:numPr>
          <w:ilvl w:val="0"/>
          <w:numId w:val="2"/>
        </w:numPr>
        <w:jc w:val="both"/>
      </w:pPr>
      <w:r>
        <w:t xml:space="preserve">In case of imports taxable event occurs when </w:t>
      </w:r>
      <w:r w:rsidRPr="00034EA1">
        <w:rPr>
          <w:b/>
        </w:rPr>
        <w:t>goods mix with landmass of India</w:t>
      </w:r>
      <w:r>
        <w:t>.</w:t>
      </w:r>
    </w:p>
    <w:p w:rsidR="000049FB" w:rsidRDefault="000049FB" w:rsidP="000049FB">
      <w:pPr>
        <w:pStyle w:val="ListParagraph"/>
        <w:numPr>
          <w:ilvl w:val="0"/>
          <w:numId w:val="2"/>
        </w:numPr>
        <w:jc w:val="both"/>
      </w:pPr>
      <w:r>
        <w:t xml:space="preserve">In case of warehoused goods (import) taxes place only </w:t>
      </w:r>
      <w:r w:rsidRPr="00034EA1">
        <w:rPr>
          <w:b/>
        </w:rPr>
        <w:t>when goods are cleared from warehouse</w:t>
      </w:r>
      <w:r>
        <w:t>.</w:t>
      </w:r>
    </w:p>
    <w:p w:rsidR="000049FB" w:rsidRDefault="000049FB" w:rsidP="000049FB">
      <w:pPr>
        <w:pStyle w:val="ListParagraph"/>
        <w:numPr>
          <w:ilvl w:val="0"/>
          <w:numId w:val="2"/>
        </w:numPr>
        <w:jc w:val="both"/>
      </w:pPr>
      <w:r>
        <w:t>In case of export taxable event occurs when goods</w:t>
      </w:r>
      <w:r w:rsidRPr="00034EA1">
        <w:rPr>
          <w:b/>
        </w:rPr>
        <w:t>, crosses territorial water of India</w:t>
      </w:r>
      <w:r>
        <w:t>.</w:t>
      </w:r>
    </w:p>
    <w:p w:rsidR="000049FB" w:rsidRDefault="000049FB" w:rsidP="000049FB">
      <w:pPr>
        <w:jc w:val="both"/>
      </w:pPr>
    </w:p>
    <w:p w:rsidR="000049FB" w:rsidRDefault="000049FB" w:rsidP="000049FB">
      <w:pPr>
        <w:pStyle w:val="ListParagraph"/>
        <w:numPr>
          <w:ilvl w:val="0"/>
          <w:numId w:val="3"/>
        </w:numPr>
        <w:ind w:hanging="630"/>
        <w:jc w:val="both"/>
      </w:pPr>
      <w:r w:rsidRPr="00C42402">
        <w:rPr>
          <w:b/>
        </w:rPr>
        <w:t>Territorial water</w:t>
      </w:r>
      <w:r>
        <w:t xml:space="preserve"> extends upto 12 N.M (nautical miles) from the baseline on the coast of India and includes any bay, harbor, creek or tidal river.</w:t>
      </w:r>
    </w:p>
    <w:p w:rsidR="000049FB" w:rsidRDefault="000049FB" w:rsidP="000049FB">
      <w:pPr>
        <w:pStyle w:val="ListParagraph"/>
        <w:numPr>
          <w:ilvl w:val="0"/>
          <w:numId w:val="3"/>
        </w:numPr>
        <w:ind w:hanging="630"/>
        <w:jc w:val="both"/>
      </w:pPr>
      <w:r w:rsidRPr="00C42402">
        <w:rPr>
          <w:b/>
        </w:rPr>
        <w:t>Sovereignty of India</w:t>
      </w:r>
      <w:r>
        <w:t xml:space="preserve"> extends to the territorial waters and to the seabed and subsoil under levy and the air space over the water.</w:t>
      </w:r>
    </w:p>
    <w:p w:rsidR="000049FB" w:rsidRDefault="000049FB" w:rsidP="000049FB">
      <w:pPr>
        <w:pStyle w:val="ListParagraph"/>
        <w:numPr>
          <w:ilvl w:val="0"/>
          <w:numId w:val="3"/>
        </w:numPr>
        <w:ind w:hanging="630"/>
        <w:jc w:val="both"/>
      </w:pPr>
      <w:r w:rsidRPr="00C42402">
        <w:rPr>
          <w:b/>
        </w:rPr>
        <w:t>Exclusive economic zone (EEZ)</w:t>
      </w:r>
      <w:r>
        <w:t xml:space="preserve"> extends to 200N.M from the base line.</w:t>
      </w:r>
    </w:p>
    <w:p w:rsidR="000049FB" w:rsidRDefault="000049FB" w:rsidP="000049FB">
      <w:pPr>
        <w:pStyle w:val="ListParagraph"/>
        <w:numPr>
          <w:ilvl w:val="0"/>
          <w:numId w:val="3"/>
        </w:numPr>
        <w:ind w:hanging="630"/>
        <w:jc w:val="both"/>
      </w:pPr>
      <w:r w:rsidRPr="00C42402">
        <w:rPr>
          <w:b/>
        </w:rPr>
        <w:t>Indian custom water</w:t>
      </w:r>
      <w:r>
        <w:t xml:space="preserve"> extends upto 12NM beyond territorial water this is also called </w:t>
      </w:r>
      <w:r w:rsidRPr="00721C1B">
        <w:rPr>
          <w:b/>
        </w:rPr>
        <w:t>continental zone.</w:t>
      </w:r>
      <w:r>
        <w:t xml:space="preserve"> </w:t>
      </w:r>
      <w:r w:rsidRPr="00721C1B">
        <w:rPr>
          <w:b/>
        </w:rPr>
        <w:t>(Means 24NM from the base line),</w:t>
      </w:r>
      <w:r>
        <w:t xml:space="preserve"> where powers of custom officer is executed.</w:t>
      </w:r>
    </w:p>
    <w:p w:rsidR="000049FB" w:rsidRDefault="000049FB" w:rsidP="000049FB">
      <w:pPr>
        <w:pStyle w:val="ListParagraph"/>
        <w:numPr>
          <w:ilvl w:val="0"/>
          <w:numId w:val="3"/>
        </w:numPr>
        <w:ind w:hanging="630"/>
        <w:jc w:val="both"/>
      </w:pPr>
      <w:r>
        <w:t xml:space="preserve">Beyond 200NM the area is </w:t>
      </w:r>
      <w:r w:rsidRPr="00721C1B">
        <w:rPr>
          <w:b/>
        </w:rPr>
        <w:t>high sea</w:t>
      </w:r>
      <w:r>
        <w:t xml:space="preserve"> where all countries have equal rights.</w:t>
      </w:r>
    </w:p>
    <w:p w:rsidR="000049FB" w:rsidRDefault="000049FB" w:rsidP="000049FB">
      <w:pPr>
        <w:jc w:val="both"/>
      </w:pPr>
      <w:r>
        <w:rPr>
          <w:noProof/>
        </w:rPr>
        <w:pict>
          <v:group id="_x0000_s1027" style="position:absolute;left:0;text-align:left;margin-left:15pt;margin-top:23.75pt;width:466.5pt;height:168.4pt;z-index:251661312" coordorigin="1740,9960" coordsize="8820,2520">
            <v:group id="_x0000_s1028" style="position:absolute;left:1980;top:9960;width:6781;height:2325" coordorigin="1980,9960" coordsize="6781,2325">
              <v:shapetype id="_x0000_t32" coordsize="21600,21600" o:spt="32" o:oned="t" path="m,l21600,21600e" filled="f">
                <v:path arrowok="t" fillok="f" o:connecttype="none"/>
                <o:lock v:ext="edit" shapetype="t"/>
              </v:shapetype>
              <v:shape id="_x0000_s1029" type="#_x0000_t32" style="position:absolute;left:1980;top:9960;width:45;height:1860" o:connectortype="straight"/>
              <v:shape id="_x0000_s1030" type="#_x0000_t32" style="position:absolute;left:4080;top:9975;width:1;height:1860" o:connectortype="straight"/>
              <v:shape id="_x0000_s1031" type="#_x0000_t32" style="position:absolute;left:2025;top:10860;width:2056;height:0" o:connectortype="straight">
                <v:stroke endarrow="block"/>
              </v:shape>
              <v:shape id="_x0000_s1032" type="#_x0000_t32" style="position:absolute;left:6255;top:10005;width:1;height:1860" o:connectortype="straight"/>
              <v:shape id="_x0000_s1033" type="#_x0000_t32" style="position:absolute;left:4169;top:10860;width:2056;height:0" o:connectortype="straight">
                <v:stroke endarrow="block"/>
              </v:shape>
              <v:shape id="_x0000_s1034" type="#_x0000_t32" style="position:absolute;left:2025;top:11820;width:4231;height:0" o:connectortype="straight">
                <v:stroke endarrow="block"/>
              </v:shape>
              <v:shape id="_x0000_s1035" type="#_x0000_t32" style="position:absolute;left:8760;top:10005;width:1;height:2280" o:connectortype="straight"/>
              <v:shape id="_x0000_s1036" type="#_x0000_t32" style="position:absolute;left:2025;top:12285;width:6736;height:0" o:connectortype="straight">
                <v:stroke endarrow="block"/>
              </v:shape>
            </v:group>
            <v:group id="_x0000_s1037" style="position:absolute;left:1740;top:9960;width:8820;height:2520" coordorigin="1740,9960" coordsize="8820,2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906;top:10794;width:1833;height:165;rotation:270" fillcolor="black" strokecolor="black [3213]">
                <v:shadow color="#868686"/>
                <v:textpath style="font-family:&quot;Arial Unicode MS&quot;;font-size:24pt;v-text-kern:t" trim="t" fitpath="t" string="Base line"/>
              </v:shape>
              <v:shape id="_x0000_s1039" type="#_x0000_t136" style="position:absolute;left:2025;top:10485;width:2025;height:210" fillcolor="black" strokecolor="black [3213]">
                <v:shadow color="#868686"/>
                <v:textpath style="font-family:&quot;Arial Unicode MS&quot;;font-size:16pt;v-text-kern:t" trim="t" fitpath="t" string="Teritoral water"/>
              </v:shape>
              <v:shape id="_x0000_s1040" type="#_x0000_t136" style="position:absolute;left:2356;top:10980;width:1350;height:120" fillcolor="black" strokecolor="black [3213]">
                <v:shadow color="#868686"/>
                <v:textpath style="font-family:&quot;Arial Unicode MS&quot;;font-size:16pt;v-text-kern:t" trim="t" fitpath="t" string="12 N.M"/>
              </v:shape>
              <v:shape id="_x0000_s1041" type="#_x0000_t136" style="position:absolute;left:4140;top:10260;width:2025;height:360" fillcolor="black" strokecolor="black [3213]">
                <v:shadow color="#868686"/>
                <v:textpath style="font-family:&quot;Arial Unicode MS&quot;;font-size:16pt;v-text-kern:t" trim="t" fitpath="t" string="Indian custom water or&#10;Continential Zone&#10;"/>
              </v:shape>
              <v:shape id="_x0000_s1042" type="#_x0000_t136" style="position:absolute;left:4411;top:10980;width:1350;height:120" fillcolor="black" strokecolor="black [3213]">
                <v:shadow color="#868686"/>
                <v:textpath style="font-family:&quot;Arial Unicode MS&quot;;font-size:16pt;v-text-kern:t" trim="t" fitpath="t" string="12 N.M"/>
              </v:shape>
              <v:shape id="_x0000_s1043" type="#_x0000_t136" style="position:absolute;left:3496;top:11985;width:1350;height:120" fillcolor="black" strokecolor="black [3213]">
                <v:shadow color="#868686"/>
                <v:textpath style="font-family:&quot;Arial Unicode MS&quot;;font-size:16pt;v-text-kern:t" trim="t" fitpath="t" string="24 N.M"/>
              </v:shape>
              <v:shape id="_x0000_s1044" type="#_x0000_t136" style="position:absolute;left:2444;top:12360;width:1350;height:120" fillcolor="black" strokecolor="black [3213]">
                <v:shadow color="#868686"/>
                <v:textpath style="font-family:&quot;Arial Unicode MS&quot;;font-size:16pt;v-text-kern:t" trim="t" fitpath="t" string="200 N.M"/>
              </v:shape>
              <v:shape id="_x0000_s1045" type="#_x0000_t136" style="position:absolute;left:4846;top:12360;width:3241;height:120" fillcolor="black" strokecolor="black [3213]">
                <v:shadow color="#868686"/>
                <v:textpath style="font-family:&quot;Arial Unicode MS&quot;;font-size:16pt;v-text-kern:t" trim="t" fitpath="t" string="Execlusive Economic Zone"/>
              </v:shape>
              <v:shape id="_x0000_s1046" type="#_x0000_t136" style="position:absolute;left:9120;top:10860;width:1440;height:240" fillcolor="black" strokecolor="black [3213]">
                <v:shadow color="#868686"/>
                <v:textpath style="font-family:&quot;Arial Unicode MS&quot;;font-size:16pt;v-text-kern:t" trim="t" fitpath="t" string="High Sea&#10;"/>
              </v:shape>
            </v:group>
          </v:group>
        </w:pict>
      </w:r>
    </w:p>
    <w:p w:rsidR="000049FB" w:rsidRDefault="000049FB" w:rsidP="000049FB">
      <w:pPr>
        <w:jc w:val="both"/>
      </w:pPr>
    </w:p>
    <w:p w:rsidR="000049FB" w:rsidRDefault="000049FB" w:rsidP="000049FB">
      <w:pPr>
        <w:jc w:val="both"/>
      </w:pPr>
    </w:p>
    <w:p w:rsidR="000049FB" w:rsidRDefault="000049FB" w:rsidP="000049FB">
      <w:pPr>
        <w:jc w:val="both"/>
      </w:pPr>
      <w:r>
        <w:rPr>
          <w:noProof/>
        </w:rPr>
        <w:pict>
          <v:shape id="_x0000_s1026" type="#_x0000_t32" style="position:absolute;left:0;text-align:left;margin-left:386.3pt;margin-top:.2pt;width:103.45pt;height:2.25pt;flip:y;z-index:251660288" o:connectortype="straight">
            <v:stroke endarrow="block"/>
          </v:shape>
        </w:pict>
      </w:r>
    </w:p>
    <w:p w:rsidR="000049FB" w:rsidRDefault="000049FB" w:rsidP="000049FB">
      <w:pPr>
        <w:jc w:val="both"/>
      </w:pPr>
    </w:p>
    <w:p w:rsidR="000049FB" w:rsidRDefault="000049FB" w:rsidP="000049FB">
      <w:pPr>
        <w:jc w:val="both"/>
      </w:pPr>
    </w:p>
    <w:p w:rsidR="000049FB" w:rsidRDefault="000049FB" w:rsidP="000049FB">
      <w:pPr>
        <w:jc w:val="both"/>
        <w:rPr>
          <w:b/>
          <w:u w:val="single"/>
        </w:rPr>
      </w:pPr>
    </w:p>
    <w:p w:rsidR="000049FB" w:rsidRDefault="000049FB" w:rsidP="000049FB">
      <w:pPr>
        <w:jc w:val="both"/>
        <w:rPr>
          <w:b/>
          <w:u w:val="single"/>
        </w:rPr>
      </w:pPr>
    </w:p>
    <w:p w:rsidR="000049FB" w:rsidRDefault="000049FB" w:rsidP="000049FB">
      <w:pPr>
        <w:jc w:val="both"/>
        <w:rPr>
          <w:b/>
          <w:u w:val="single"/>
        </w:rPr>
      </w:pPr>
    </w:p>
    <w:p w:rsidR="000049FB" w:rsidRPr="00C42402" w:rsidRDefault="000049FB" w:rsidP="000049FB">
      <w:pPr>
        <w:jc w:val="both"/>
        <w:rPr>
          <w:b/>
          <w:u w:val="single"/>
        </w:rPr>
      </w:pPr>
      <w:r w:rsidRPr="00C42402">
        <w:rPr>
          <w:b/>
          <w:u w:val="single"/>
        </w:rPr>
        <w:lastRenderedPageBreak/>
        <w:t>Goods under custom</w:t>
      </w:r>
    </w:p>
    <w:p w:rsidR="000049FB" w:rsidRDefault="000049FB" w:rsidP="000049FB">
      <w:pPr>
        <w:pStyle w:val="ListParagraph"/>
        <w:numPr>
          <w:ilvl w:val="0"/>
          <w:numId w:val="4"/>
        </w:numPr>
        <w:jc w:val="both"/>
      </w:pPr>
      <w:r>
        <w:t>Sec 2(22) gives inclusive definition of goods as follows- goods includes vessels, aircrafts and vehicles, stores, baggage, currency and negotiable instruments, and any other kinds of movable property.</w:t>
      </w:r>
    </w:p>
    <w:p w:rsidR="000049FB" w:rsidRDefault="000049FB" w:rsidP="000049FB">
      <w:pPr>
        <w:pStyle w:val="ListParagraph"/>
        <w:numPr>
          <w:ilvl w:val="0"/>
          <w:numId w:val="4"/>
        </w:numPr>
        <w:jc w:val="both"/>
      </w:pPr>
      <w:r>
        <w:t>The duty is payable on goods belonging to Govt, and Goods not belonging to Govt.</w:t>
      </w:r>
    </w:p>
    <w:p w:rsidR="000049FB" w:rsidRDefault="000049FB" w:rsidP="000049FB">
      <w:pPr>
        <w:pStyle w:val="ListParagraph"/>
        <w:numPr>
          <w:ilvl w:val="0"/>
          <w:numId w:val="4"/>
        </w:numPr>
        <w:jc w:val="both"/>
      </w:pPr>
      <w:r>
        <w:t>Sec 2(14) Dutiable goods means any goods which are chargeable to duty and which duty has not been paid.</w:t>
      </w:r>
    </w:p>
    <w:p w:rsidR="000049FB" w:rsidRDefault="000049FB" w:rsidP="000049FB">
      <w:pPr>
        <w:pStyle w:val="ListParagraph"/>
        <w:numPr>
          <w:ilvl w:val="0"/>
          <w:numId w:val="4"/>
        </w:numPr>
        <w:jc w:val="both"/>
      </w:pPr>
      <w:r>
        <w:t>So, goods continue to be dutiable till they are not cleared from the port. However, once goods are assessed at ‘Nil’ rate of duty, they no more remain dutiable goods.</w:t>
      </w:r>
    </w:p>
    <w:p w:rsidR="000049FB" w:rsidRDefault="000049FB" w:rsidP="000049FB">
      <w:pPr>
        <w:jc w:val="both"/>
      </w:pPr>
      <w:r w:rsidRPr="008F7692">
        <w:rPr>
          <w:b/>
        </w:rPr>
        <w:t xml:space="preserve">Imported </w:t>
      </w:r>
      <w:r>
        <w:rPr>
          <w:b/>
        </w:rPr>
        <w:t>G</w:t>
      </w:r>
      <w:r w:rsidRPr="008F7692">
        <w:rPr>
          <w:b/>
        </w:rPr>
        <w:t>oods:</w:t>
      </w:r>
      <w:r>
        <w:t xml:space="preserve"> sec 2(25) of Custom Act defines imported goods as nay goods bought in India from a place outside India.</w:t>
      </w:r>
    </w:p>
    <w:p w:rsidR="000049FB" w:rsidRDefault="000049FB" w:rsidP="000049FB">
      <w:pPr>
        <w:jc w:val="both"/>
      </w:pPr>
      <w:r w:rsidRPr="008F7692">
        <w:rPr>
          <w:b/>
        </w:rPr>
        <w:t>Exported Goods:</w:t>
      </w:r>
      <w:r>
        <w:t xml:space="preserve"> Sec 2(19) of Custom Act, export goods mean any goods which are to be taken out of India to a place outside India.</w:t>
      </w:r>
    </w:p>
    <w:p w:rsidR="000049FB" w:rsidRDefault="000049FB" w:rsidP="000049FB">
      <w:pPr>
        <w:jc w:val="both"/>
      </w:pPr>
      <w:r>
        <w:t>Types of custom duty</w:t>
      </w:r>
    </w:p>
    <w:tbl>
      <w:tblPr>
        <w:tblStyle w:val="TableGrid"/>
        <w:tblW w:w="0" w:type="auto"/>
        <w:tblLook w:val="04A0"/>
      </w:tblPr>
      <w:tblGrid>
        <w:gridCol w:w="405"/>
        <w:gridCol w:w="4931"/>
        <w:gridCol w:w="1436"/>
        <w:gridCol w:w="1438"/>
        <w:gridCol w:w="1366"/>
      </w:tblGrid>
      <w:tr w:rsidR="000049FB" w:rsidTr="00393930">
        <w:tc>
          <w:tcPr>
            <w:tcW w:w="405" w:type="dxa"/>
          </w:tcPr>
          <w:p w:rsidR="000049FB" w:rsidRDefault="000049FB" w:rsidP="00393930">
            <w:pPr>
              <w:jc w:val="both"/>
            </w:pPr>
          </w:p>
        </w:tc>
        <w:tc>
          <w:tcPr>
            <w:tcW w:w="4931" w:type="dxa"/>
          </w:tcPr>
          <w:p w:rsidR="000049FB" w:rsidRDefault="000049FB" w:rsidP="00393930">
            <w:pPr>
              <w:jc w:val="both"/>
            </w:pPr>
          </w:p>
        </w:tc>
        <w:tc>
          <w:tcPr>
            <w:tcW w:w="1436" w:type="dxa"/>
          </w:tcPr>
          <w:p w:rsidR="000049FB" w:rsidRDefault="000049FB" w:rsidP="00393930">
            <w:pPr>
              <w:jc w:val="both"/>
            </w:pPr>
            <w:r>
              <w:t>Duty %</w:t>
            </w:r>
          </w:p>
        </w:tc>
        <w:tc>
          <w:tcPr>
            <w:tcW w:w="1438" w:type="dxa"/>
          </w:tcPr>
          <w:p w:rsidR="000049FB" w:rsidRDefault="000049FB" w:rsidP="00393930">
            <w:pPr>
              <w:jc w:val="both"/>
            </w:pPr>
            <w:r>
              <w:t xml:space="preserve">Amount </w:t>
            </w:r>
          </w:p>
        </w:tc>
        <w:tc>
          <w:tcPr>
            <w:tcW w:w="1366" w:type="dxa"/>
          </w:tcPr>
          <w:p w:rsidR="000049FB" w:rsidRDefault="000049FB" w:rsidP="00393930">
            <w:pPr>
              <w:jc w:val="both"/>
            </w:pPr>
            <w:r>
              <w:t>Total Duty</w:t>
            </w:r>
          </w:p>
        </w:tc>
      </w:tr>
      <w:tr w:rsidR="000049FB" w:rsidTr="00393930">
        <w:tc>
          <w:tcPr>
            <w:tcW w:w="405" w:type="dxa"/>
          </w:tcPr>
          <w:p w:rsidR="000049FB" w:rsidRDefault="000049FB" w:rsidP="00393930">
            <w:pPr>
              <w:jc w:val="both"/>
            </w:pPr>
            <w:r>
              <w:t>A</w:t>
            </w:r>
          </w:p>
        </w:tc>
        <w:tc>
          <w:tcPr>
            <w:tcW w:w="4931" w:type="dxa"/>
          </w:tcPr>
          <w:p w:rsidR="000049FB" w:rsidRDefault="000049FB" w:rsidP="00393930">
            <w:pPr>
              <w:jc w:val="both"/>
            </w:pPr>
            <w:r>
              <w:t>Assessable value Rs.10,000</w:t>
            </w:r>
          </w:p>
        </w:tc>
        <w:tc>
          <w:tcPr>
            <w:tcW w:w="1436" w:type="dxa"/>
          </w:tcPr>
          <w:p w:rsidR="000049FB" w:rsidRDefault="000049FB" w:rsidP="00393930">
            <w:pPr>
              <w:jc w:val="both"/>
            </w:pPr>
          </w:p>
        </w:tc>
        <w:tc>
          <w:tcPr>
            <w:tcW w:w="1438" w:type="dxa"/>
          </w:tcPr>
          <w:p w:rsidR="000049FB" w:rsidRDefault="000049FB" w:rsidP="00393930">
            <w:pPr>
              <w:jc w:val="both"/>
            </w:pPr>
            <w:r>
              <w:t>10,000.00</w:t>
            </w:r>
          </w:p>
        </w:tc>
        <w:tc>
          <w:tcPr>
            <w:tcW w:w="1366" w:type="dxa"/>
          </w:tcPr>
          <w:p w:rsidR="000049FB" w:rsidRDefault="000049FB" w:rsidP="00393930">
            <w:pPr>
              <w:jc w:val="both"/>
            </w:pPr>
          </w:p>
        </w:tc>
      </w:tr>
      <w:tr w:rsidR="000049FB" w:rsidTr="00393930">
        <w:tc>
          <w:tcPr>
            <w:tcW w:w="405" w:type="dxa"/>
          </w:tcPr>
          <w:p w:rsidR="000049FB" w:rsidRDefault="000049FB" w:rsidP="00393930">
            <w:pPr>
              <w:jc w:val="both"/>
            </w:pPr>
            <w:r>
              <w:t>B</w:t>
            </w:r>
          </w:p>
        </w:tc>
        <w:tc>
          <w:tcPr>
            <w:tcW w:w="4931" w:type="dxa"/>
          </w:tcPr>
          <w:p w:rsidR="000049FB" w:rsidRDefault="000049FB" w:rsidP="00393930">
            <w:pPr>
              <w:jc w:val="both"/>
            </w:pPr>
            <w:r>
              <w:t>Basic Custom Duty</w:t>
            </w:r>
          </w:p>
        </w:tc>
        <w:tc>
          <w:tcPr>
            <w:tcW w:w="1436" w:type="dxa"/>
          </w:tcPr>
          <w:p w:rsidR="000049FB" w:rsidRDefault="000049FB" w:rsidP="00393930">
            <w:pPr>
              <w:jc w:val="both"/>
            </w:pPr>
            <w:r>
              <w:t>10</w:t>
            </w:r>
          </w:p>
        </w:tc>
        <w:tc>
          <w:tcPr>
            <w:tcW w:w="1438" w:type="dxa"/>
          </w:tcPr>
          <w:p w:rsidR="000049FB" w:rsidRDefault="000049FB" w:rsidP="00393930">
            <w:pPr>
              <w:jc w:val="both"/>
            </w:pPr>
            <w:r>
              <w:t xml:space="preserve">  1,000.00</w:t>
            </w:r>
          </w:p>
        </w:tc>
        <w:tc>
          <w:tcPr>
            <w:tcW w:w="1366" w:type="dxa"/>
          </w:tcPr>
          <w:p w:rsidR="000049FB" w:rsidRDefault="000049FB" w:rsidP="00393930">
            <w:pPr>
              <w:jc w:val="both"/>
            </w:pPr>
            <w:r>
              <w:t>1000.00</w:t>
            </w:r>
          </w:p>
        </w:tc>
      </w:tr>
      <w:tr w:rsidR="000049FB" w:rsidTr="00393930">
        <w:tc>
          <w:tcPr>
            <w:tcW w:w="405" w:type="dxa"/>
          </w:tcPr>
          <w:p w:rsidR="000049FB" w:rsidRDefault="000049FB" w:rsidP="00393930">
            <w:pPr>
              <w:jc w:val="both"/>
            </w:pPr>
            <w:r>
              <w:t>C</w:t>
            </w:r>
          </w:p>
        </w:tc>
        <w:tc>
          <w:tcPr>
            <w:tcW w:w="4931" w:type="dxa"/>
          </w:tcPr>
          <w:p w:rsidR="000049FB" w:rsidRDefault="000049FB" w:rsidP="00393930">
            <w:pPr>
              <w:jc w:val="both"/>
            </w:pPr>
            <w:r>
              <w:t>Sub Total [A+B]</w:t>
            </w:r>
          </w:p>
        </w:tc>
        <w:tc>
          <w:tcPr>
            <w:tcW w:w="1436" w:type="dxa"/>
          </w:tcPr>
          <w:p w:rsidR="000049FB" w:rsidRDefault="000049FB" w:rsidP="00393930">
            <w:pPr>
              <w:jc w:val="both"/>
            </w:pPr>
          </w:p>
        </w:tc>
        <w:tc>
          <w:tcPr>
            <w:tcW w:w="1438" w:type="dxa"/>
          </w:tcPr>
          <w:p w:rsidR="000049FB" w:rsidRPr="00C422E5" w:rsidRDefault="000049FB" w:rsidP="00393930">
            <w:pPr>
              <w:jc w:val="both"/>
              <w:rPr>
                <w:b/>
              </w:rPr>
            </w:pPr>
            <w:r w:rsidRPr="00C422E5">
              <w:rPr>
                <w:b/>
              </w:rPr>
              <w:t>11,000.00</w:t>
            </w:r>
          </w:p>
        </w:tc>
        <w:tc>
          <w:tcPr>
            <w:tcW w:w="1366" w:type="dxa"/>
          </w:tcPr>
          <w:p w:rsidR="000049FB" w:rsidRDefault="000049FB" w:rsidP="00393930">
            <w:pPr>
              <w:jc w:val="both"/>
            </w:pPr>
          </w:p>
        </w:tc>
      </w:tr>
      <w:tr w:rsidR="000049FB" w:rsidTr="00393930">
        <w:tc>
          <w:tcPr>
            <w:tcW w:w="405" w:type="dxa"/>
          </w:tcPr>
          <w:p w:rsidR="000049FB" w:rsidRDefault="000049FB" w:rsidP="00393930">
            <w:pPr>
              <w:jc w:val="both"/>
            </w:pPr>
            <w:r>
              <w:t>D</w:t>
            </w:r>
          </w:p>
        </w:tc>
        <w:tc>
          <w:tcPr>
            <w:tcW w:w="4931" w:type="dxa"/>
          </w:tcPr>
          <w:p w:rsidR="000049FB" w:rsidRDefault="000049FB" w:rsidP="00393930">
            <w:pPr>
              <w:jc w:val="both"/>
            </w:pPr>
            <w:r>
              <w:t xml:space="preserve">CVD [‘C’*Excise Duty Rate]                            </w:t>
            </w:r>
            <w:r w:rsidRPr="00851B0A">
              <w:rPr>
                <w:rFonts w:ascii="Lucida Calligraphy" w:hAnsi="Lucida Calligraphy"/>
                <w:b/>
                <w:i/>
                <w:sz w:val="16"/>
              </w:rPr>
              <w:t>Presently</w:t>
            </w:r>
          </w:p>
        </w:tc>
        <w:tc>
          <w:tcPr>
            <w:tcW w:w="1436" w:type="dxa"/>
          </w:tcPr>
          <w:p w:rsidR="000049FB" w:rsidRDefault="000049FB" w:rsidP="00393930">
            <w:pPr>
              <w:jc w:val="both"/>
            </w:pPr>
            <w:r>
              <w:t>12</w:t>
            </w:r>
          </w:p>
        </w:tc>
        <w:tc>
          <w:tcPr>
            <w:tcW w:w="1438" w:type="dxa"/>
          </w:tcPr>
          <w:p w:rsidR="000049FB" w:rsidRDefault="000049FB" w:rsidP="00393930">
            <w:pPr>
              <w:jc w:val="both"/>
            </w:pPr>
            <w:r>
              <w:t xml:space="preserve">   1,320.00</w:t>
            </w:r>
          </w:p>
        </w:tc>
        <w:tc>
          <w:tcPr>
            <w:tcW w:w="1366" w:type="dxa"/>
          </w:tcPr>
          <w:p w:rsidR="000049FB" w:rsidRDefault="000049FB" w:rsidP="00393930">
            <w:pPr>
              <w:jc w:val="both"/>
            </w:pPr>
            <w:r>
              <w:t>1320.00</w:t>
            </w:r>
          </w:p>
        </w:tc>
      </w:tr>
      <w:tr w:rsidR="000049FB" w:rsidTr="00393930">
        <w:tc>
          <w:tcPr>
            <w:tcW w:w="405" w:type="dxa"/>
          </w:tcPr>
          <w:p w:rsidR="000049FB" w:rsidRDefault="000049FB" w:rsidP="00393930">
            <w:pPr>
              <w:jc w:val="both"/>
            </w:pPr>
            <w:r>
              <w:t>E</w:t>
            </w:r>
          </w:p>
        </w:tc>
        <w:tc>
          <w:tcPr>
            <w:tcW w:w="4931" w:type="dxa"/>
          </w:tcPr>
          <w:p w:rsidR="000049FB" w:rsidRDefault="000049FB" w:rsidP="00393930">
            <w:pPr>
              <w:jc w:val="both"/>
            </w:pPr>
            <w:r>
              <w:t>Sub Total [B+D] for education cess on custom</w:t>
            </w:r>
          </w:p>
        </w:tc>
        <w:tc>
          <w:tcPr>
            <w:tcW w:w="1436" w:type="dxa"/>
          </w:tcPr>
          <w:p w:rsidR="000049FB" w:rsidRDefault="000049FB" w:rsidP="00393930">
            <w:pPr>
              <w:jc w:val="both"/>
            </w:pPr>
            <w:r>
              <w:t xml:space="preserve"> </w:t>
            </w:r>
          </w:p>
        </w:tc>
        <w:tc>
          <w:tcPr>
            <w:tcW w:w="1438" w:type="dxa"/>
          </w:tcPr>
          <w:p w:rsidR="000049FB" w:rsidRPr="00C422E5" w:rsidRDefault="000049FB" w:rsidP="00393930">
            <w:pPr>
              <w:jc w:val="both"/>
              <w:rPr>
                <w:b/>
              </w:rPr>
            </w:pPr>
            <w:r>
              <w:t xml:space="preserve">   </w:t>
            </w:r>
            <w:r w:rsidRPr="00C422E5">
              <w:rPr>
                <w:b/>
              </w:rPr>
              <w:t>2,320.00</w:t>
            </w:r>
          </w:p>
        </w:tc>
        <w:tc>
          <w:tcPr>
            <w:tcW w:w="1366" w:type="dxa"/>
          </w:tcPr>
          <w:p w:rsidR="000049FB" w:rsidRDefault="000049FB" w:rsidP="00393930">
            <w:pPr>
              <w:jc w:val="both"/>
            </w:pPr>
          </w:p>
        </w:tc>
      </w:tr>
      <w:tr w:rsidR="000049FB" w:rsidTr="00393930">
        <w:tc>
          <w:tcPr>
            <w:tcW w:w="405" w:type="dxa"/>
          </w:tcPr>
          <w:p w:rsidR="000049FB" w:rsidRDefault="000049FB" w:rsidP="00393930">
            <w:pPr>
              <w:jc w:val="both"/>
            </w:pPr>
            <w:r>
              <w:t>F</w:t>
            </w:r>
          </w:p>
        </w:tc>
        <w:tc>
          <w:tcPr>
            <w:tcW w:w="4931" w:type="dxa"/>
          </w:tcPr>
          <w:p w:rsidR="000049FB" w:rsidRDefault="000049FB" w:rsidP="00393930">
            <w:pPr>
              <w:jc w:val="both"/>
            </w:pPr>
            <w:r>
              <w:t>Education cess of custom @2% on E</w:t>
            </w:r>
          </w:p>
        </w:tc>
        <w:tc>
          <w:tcPr>
            <w:tcW w:w="1436" w:type="dxa"/>
          </w:tcPr>
          <w:p w:rsidR="000049FB" w:rsidRDefault="000049FB" w:rsidP="00393930">
            <w:pPr>
              <w:jc w:val="both"/>
            </w:pPr>
            <w:r>
              <w:t xml:space="preserve"> 2</w:t>
            </w:r>
          </w:p>
        </w:tc>
        <w:tc>
          <w:tcPr>
            <w:tcW w:w="1438" w:type="dxa"/>
          </w:tcPr>
          <w:p w:rsidR="000049FB" w:rsidRDefault="000049FB" w:rsidP="00393930">
            <w:pPr>
              <w:jc w:val="both"/>
            </w:pPr>
            <w:r>
              <w:t xml:space="preserve">        46.40</w:t>
            </w:r>
          </w:p>
        </w:tc>
        <w:tc>
          <w:tcPr>
            <w:tcW w:w="1366" w:type="dxa"/>
          </w:tcPr>
          <w:p w:rsidR="000049FB" w:rsidRDefault="000049FB" w:rsidP="00393930">
            <w:pPr>
              <w:jc w:val="both"/>
            </w:pPr>
            <w:r>
              <w:t xml:space="preserve">     46.40</w:t>
            </w:r>
          </w:p>
        </w:tc>
      </w:tr>
      <w:tr w:rsidR="000049FB" w:rsidTr="00393930">
        <w:tc>
          <w:tcPr>
            <w:tcW w:w="405" w:type="dxa"/>
          </w:tcPr>
          <w:p w:rsidR="000049FB" w:rsidRDefault="000049FB" w:rsidP="00393930">
            <w:pPr>
              <w:jc w:val="both"/>
            </w:pPr>
            <w:r>
              <w:t>G</w:t>
            </w:r>
          </w:p>
        </w:tc>
        <w:tc>
          <w:tcPr>
            <w:tcW w:w="4931" w:type="dxa"/>
          </w:tcPr>
          <w:p w:rsidR="000049FB" w:rsidRDefault="000049FB" w:rsidP="00393930">
            <w:pPr>
              <w:jc w:val="both"/>
            </w:pPr>
            <w:r>
              <w:t>HSEC of Custom @1% on E</w:t>
            </w:r>
          </w:p>
        </w:tc>
        <w:tc>
          <w:tcPr>
            <w:tcW w:w="1436" w:type="dxa"/>
          </w:tcPr>
          <w:p w:rsidR="000049FB" w:rsidRDefault="000049FB" w:rsidP="00393930">
            <w:pPr>
              <w:jc w:val="both"/>
            </w:pPr>
            <w:r>
              <w:t xml:space="preserve"> 1</w:t>
            </w:r>
          </w:p>
        </w:tc>
        <w:tc>
          <w:tcPr>
            <w:tcW w:w="1438" w:type="dxa"/>
          </w:tcPr>
          <w:p w:rsidR="000049FB" w:rsidRDefault="000049FB" w:rsidP="00393930">
            <w:pPr>
              <w:jc w:val="both"/>
            </w:pPr>
            <w:r>
              <w:t xml:space="preserve">        23.20</w:t>
            </w:r>
          </w:p>
        </w:tc>
        <w:tc>
          <w:tcPr>
            <w:tcW w:w="1366" w:type="dxa"/>
          </w:tcPr>
          <w:p w:rsidR="000049FB" w:rsidRDefault="000049FB" w:rsidP="00393930">
            <w:pPr>
              <w:jc w:val="both"/>
            </w:pPr>
            <w:r>
              <w:t xml:space="preserve">     23.20</w:t>
            </w:r>
          </w:p>
        </w:tc>
      </w:tr>
      <w:tr w:rsidR="000049FB" w:rsidTr="00393930">
        <w:tc>
          <w:tcPr>
            <w:tcW w:w="405" w:type="dxa"/>
          </w:tcPr>
          <w:p w:rsidR="000049FB" w:rsidRDefault="000049FB" w:rsidP="00393930">
            <w:pPr>
              <w:jc w:val="both"/>
            </w:pPr>
            <w:r>
              <w:t>H</w:t>
            </w:r>
          </w:p>
        </w:tc>
        <w:tc>
          <w:tcPr>
            <w:tcW w:w="4931" w:type="dxa"/>
          </w:tcPr>
          <w:p w:rsidR="000049FB" w:rsidRDefault="000049FB" w:rsidP="00393930">
            <w:pPr>
              <w:jc w:val="both"/>
            </w:pPr>
            <w:r>
              <w:t>Sub Total for special CVD [C+D+F+G]</w:t>
            </w:r>
          </w:p>
        </w:tc>
        <w:tc>
          <w:tcPr>
            <w:tcW w:w="1436" w:type="dxa"/>
          </w:tcPr>
          <w:p w:rsidR="000049FB" w:rsidRDefault="000049FB" w:rsidP="00393930">
            <w:pPr>
              <w:jc w:val="both"/>
            </w:pPr>
            <w:r>
              <w:t xml:space="preserve"> </w:t>
            </w:r>
          </w:p>
        </w:tc>
        <w:tc>
          <w:tcPr>
            <w:tcW w:w="1438" w:type="dxa"/>
          </w:tcPr>
          <w:p w:rsidR="000049FB" w:rsidRPr="00C422E5" w:rsidRDefault="000049FB" w:rsidP="00393930">
            <w:pPr>
              <w:jc w:val="both"/>
              <w:rPr>
                <w:b/>
              </w:rPr>
            </w:pPr>
            <w:r w:rsidRPr="00C422E5">
              <w:rPr>
                <w:b/>
              </w:rPr>
              <w:t>12,389.60</w:t>
            </w:r>
          </w:p>
        </w:tc>
        <w:tc>
          <w:tcPr>
            <w:tcW w:w="1366" w:type="dxa"/>
          </w:tcPr>
          <w:p w:rsidR="000049FB" w:rsidRDefault="000049FB" w:rsidP="00393930">
            <w:pPr>
              <w:jc w:val="both"/>
            </w:pPr>
          </w:p>
        </w:tc>
      </w:tr>
      <w:tr w:rsidR="000049FB" w:rsidTr="00393930">
        <w:tc>
          <w:tcPr>
            <w:tcW w:w="405" w:type="dxa"/>
          </w:tcPr>
          <w:p w:rsidR="000049FB" w:rsidRDefault="000049FB" w:rsidP="00393930">
            <w:pPr>
              <w:jc w:val="both"/>
            </w:pPr>
            <w:r>
              <w:t>I</w:t>
            </w:r>
          </w:p>
        </w:tc>
        <w:tc>
          <w:tcPr>
            <w:tcW w:w="4931" w:type="dxa"/>
          </w:tcPr>
          <w:p w:rsidR="000049FB" w:rsidRDefault="000049FB" w:rsidP="00393930">
            <w:pPr>
              <w:jc w:val="both"/>
            </w:pPr>
            <w:r>
              <w:t>Special CVD u/s 3 (5 ) @4%</w:t>
            </w:r>
          </w:p>
        </w:tc>
        <w:tc>
          <w:tcPr>
            <w:tcW w:w="1436" w:type="dxa"/>
          </w:tcPr>
          <w:p w:rsidR="000049FB" w:rsidRDefault="000049FB" w:rsidP="00393930">
            <w:pPr>
              <w:jc w:val="both"/>
            </w:pPr>
            <w:r>
              <w:t xml:space="preserve"> 4</w:t>
            </w:r>
          </w:p>
        </w:tc>
        <w:tc>
          <w:tcPr>
            <w:tcW w:w="1438" w:type="dxa"/>
          </w:tcPr>
          <w:p w:rsidR="000049FB" w:rsidRDefault="000049FB" w:rsidP="00393930">
            <w:pPr>
              <w:jc w:val="both"/>
            </w:pPr>
            <w:r>
              <w:t xml:space="preserve">      495.58</w:t>
            </w:r>
          </w:p>
        </w:tc>
        <w:tc>
          <w:tcPr>
            <w:tcW w:w="1366" w:type="dxa"/>
          </w:tcPr>
          <w:p w:rsidR="000049FB" w:rsidRDefault="000049FB" w:rsidP="00393930">
            <w:pPr>
              <w:jc w:val="both"/>
            </w:pPr>
            <w:r>
              <w:t xml:space="preserve">   495.58</w:t>
            </w:r>
          </w:p>
        </w:tc>
      </w:tr>
      <w:tr w:rsidR="000049FB" w:rsidTr="00393930">
        <w:tc>
          <w:tcPr>
            <w:tcW w:w="405" w:type="dxa"/>
          </w:tcPr>
          <w:p w:rsidR="000049FB" w:rsidRDefault="000049FB" w:rsidP="00393930">
            <w:pPr>
              <w:jc w:val="both"/>
            </w:pPr>
            <w:r>
              <w:t>J</w:t>
            </w:r>
          </w:p>
        </w:tc>
        <w:tc>
          <w:tcPr>
            <w:tcW w:w="4931" w:type="dxa"/>
          </w:tcPr>
          <w:p w:rsidR="000049FB" w:rsidRDefault="000049FB" w:rsidP="00393930">
            <w:pPr>
              <w:jc w:val="both"/>
            </w:pPr>
            <w:r>
              <w:t>Total Duty</w:t>
            </w:r>
          </w:p>
        </w:tc>
        <w:tc>
          <w:tcPr>
            <w:tcW w:w="1436" w:type="dxa"/>
          </w:tcPr>
          <w:p w:rsidR="000049FB" w:rsidRDefault="000049FB" w:rsidP="00393930">
            <w:pPr>
              <w:jc w:val="both"/>
            </w:pPr>
          </w:p>
        </w:tc>
        <w:tc>
          <w:tcPr>
            <w:tcW w:w="1438" w:type="dxa"/>
          </w:tcPr>
          <w:p w:rsidR="000049FB" w:rsidRDefault="000049FB" w:rsidP="00393930">
            <w:pPr>
              <w:jc w:val="both"/>
            </w:pPr>
          </w:p>
        </w:tc>
        <w:tc>
          <w:tcPr>
            <w:tcW w:w="1366" w:type="dxa"/>
          </w:tcPr>
          <w:p w:rsidR="000049FB" w:rsidRDefault="000049FB" w:rsidP="00393930">
            <w:pPr>
              <w:jc w:val="both"/>
            </w:pPr>
            <w:r>
              <w:t>2,888.18</w:t>
            </w:r>
          </w:p>
        </w:tc>
      </w:tr>
      <w:tr w:rsidR="000049FB" w:rsidTr="00393930">
        <w:tc>
          <w:tcPr>
            <w:tcW w:w="405" w:type="dxa"/>
          </w:tcPr>
          <w:p w:rsidR="000049FB" w:rsidRDefault="000049FB" w:rsidP="00393930">
            <w:pPr>
              <w:jc w:val="both"/>
            </w:pPr>
            <w:r>
              <w:t xml:space="preserve">M </w:t>
            </w:r>
          </w:p>
        </w:tc>
        <w:tc>
          <w:tcPr>
            <w:tcW w:w="4931" w:type="dxa"/>
          </w:tcPr>
          <w:p w:rsidR="000049FB" w:rsidRDefault="000049FB" w:rsidP="00393930">
            <w:pPr>
              <w:jc w:val="both"/>
            </w:pPr>
            <w:r>
              <w:t xml:space="preserve">Total duty round off </w:t>
            </w:r>
          </w:p>
        </w:tc>
        <w:tc>
          <w:tcPr>
            <w:tcW w:w="1436" w:type="dxa"/>
          </w:tcPr>
          <w:p w:rsidR="000049FB" w:rsidRDefault="000049FB" w:rsidP="00393930">
            <w:pPr>
              <w:jc w:val="both"/>
            </w:pPr>
          </w:p>
        </w:tc>
        <w:tc>
          <w:tcPr>
            <w:tcW w:w="1438" w:type="dxa"/>
          </w:tcPr>
          <w:p w:rsidR="000049FB" w:rsidRDefault="000049FB" w:rsidP="00393930">
            <w:pPr>
              <w:jc w:val="both"/>
            </w:pPr>
          </w:p>
        </w:tc>
        <w:tc>
          <w:tcPr>
            <w:tcW w:w="1366" w:type="dxa"/>
          </w:tcPr>
          <w:p w:rsidR="000049FB" w:rsidRPr="00C422E5" w:rsidRDefault="000049FB" w:rsidP="00393930">
            <w:pPr>
              <w:jc w:val="both"/>
              <w:rPr>
                <w:b/>
              </w:rPr>
            </w:pPr>
            <w:r w:rsidRPr="00C422E5">
              <w:rPr>
                <w:b/>
                <w:sz w:val="30"/>
              </w:rPr>
              <w:t>2,885.00</w:t>
            </w:r>
          </w:p>
        </w:tc>
      </w:tr>
      <w:tr w:rsidR="000049FB" w:rsidRPr="00C422E5" w:rsidTr="00393930">
        <w:tc>
          <w:tcPr>
            <w:tcW w:w="9576" w:type="dxa"/>
            <w:gridSpan w:val="5"/>
          </w:tcPr>
          <w:p w:rsidR="000049FB" w:rsidRPr="00C422E5" w:rsidRDefault="000049FB" w:rsidP="00393930">
            <w:pPr>
              <w:jc w:val="both"/>
              <w:rPr>
                <w:b/>
              </w:rPr>
            </w:pPr>
            <w:r w:rsidRPr="00C422E5">
              <w:rPr>
                <w:b/>
              </w:rPr>
              <w:t>Note: Education and HSEC on CVD is exempted w.e.f 17.03.2012</w:t>
            </w:r>
          </w:p>
        </w:tc>
      </w:tr>
    </w:tbl>
    <w:p w:rsidR="000049FB" w:rsidRDefault="000049FB" w:rsidP="000049FB">
      <w:pPr>
        <w:jc w:val="both"/>
      </w:pPr>
    </w:p>
    <w:p w:rsidR="000049FB" w:rsidRPr="0074412E" w:rsidRDefault="000049FB" w:rsidP="000049FB">
      <w:pPr>
        <w:jc w:val="both"/>
        <w:rPr>
          <w:b/>
        </w:rPr>
      </w:pPr>
      <w:r w:rsidRPr="0074412E">
        <w:rPr>
          <w:b/>
        </w:rPr>
        <w:t xml:space="preserve">Note: </w:t>
      </w:r>
    </w:p>
    <w:p w:rsidR="000049FB" w:rsidRDefault="000049FB" w:rsidP="000049FB">
      <w:pPr>
        <w:pStyle w:val="ListParagraph"/>
        <w:numPr>
          <w:ilvl w:val="0"/>
          <w:numId w:val="5"/>
        </w:numPr>
        <w:jc w:val="both"/>
      </w:pPr>
      <w:r>
        <w:t>Buyer, who is a manufacturer, is eligible to avail cenvat credit of D and I above.</w:t>
      </w:r>
    </w:p>
    <w:p w:rsidR="000049FB" w:rsidRDefault="000049FB" w:rsidP="000049FB">
      <w:pPr>
        <w:pStyle w:val="ListParagraph"/>
        <w:numPr>
          <w:ilvl w:val="0"/>
          <w:numId w:val="5"/>
        </w:numPr>
        <w:jc w:val="both"/>
      </w:pPr>
      <w:r>
        <w:t>Buyer, who is a service provider, is eligible to avail cenvat credit of D above.</w:t>
      </w:r>
      <w:r>
        <w:tab/>
      </w:r>
    </w:p>
    <w:p w:rsidR="000049FB" w:rsidRDefault="000049FB" w:rsidP="000049FB">
      <w:pPr>
        <w:pStyle w:val="ListParagraph"/>
        <w:numPr>
          <w:ilvl w:val="0"/>
          <w:numId w:val="5"/>
        </w:numPr>
        <w:jc w:val="both"/>
      </w:pPr>
      <w:r>
        <w:t>A trader, who sells imported goods in India after charging VAT/Sales tax get refund of special CVD @4% i.e. I.</w:t>
      </w:r>
    </w:p>
    <w:p w:rsidR="000049FB" w:rsidRPr="00FD4DF3" w:rsidRDefault="000049FB" w:rsidP="000049FB">
      <w:pPr>
        <w:jc w:val="both"/>
        <w:rPr>
          <w:b/>
        </w:rPr>
      </w:pPr>
      <w:r w:rsidRPr="00FD4DF3">
        <w:rPr>
          <w:b/>
        </w:rPr>
        <w:t xml:space="preserve"> Additional custom duty/countervailing duty (CVD) u/s 3(1)</w:t>
      </w:r>
    </w:p>
    <w:p w:rsidR="000049FB" w:rsidRDefault="000049FB" w:rsidP="000049FB">
      <w:pPr>
        <w:jc w:val="both"/>
      </w:pPr>
      <w:r>
        <w:t>CVD levied u/s 3(1) of CUTA. It is not a duty under the custom Act.</w:t>
      </w:r>
    </w:p>
    <w:p w:rsidR="000049FB" w:rsidRDefault="000049FB" w:rsidP="000049FB">
      <w:pPr>
        <w:pStyle w:val="ListParagraph"/>
        <w:numPr>
          <w:ilvl w:val="0"/>
          <w:numId w:val="6"/>
        </w:numPr>
        <w:jc w:val="both"/>
      </w:pPr>
      <w:r>
        <w:t>This duty is equal to excise duty levied on a like product manufactured or produced in India.</w:t>
      </w:r>
    </w:p>
    <w:p w:rsidR="000049FB" w:rsidRDefault="000049FB" w:rsidP="000049FB">
      <w:pPr>
        <w:pStyle w:val="ListParagraph"/>
        <w:numPr>
          <w:ilvl w:val="0"/>
          <w:numId w:val="6"/>
        </w:numPr>
        <w:jc w:val="both"/>
      </w:pPr>
      <w:r>
        <w:lastRenderedPageBreak/>
        <w:t>If like article is not produced or manufactured in India. Then excise duty would be livable on that article had it been produced in India is the base.</w:t>
      </w:r>
    </w:p>
    <w:p w:rsidR="000049FB" w:rsidRDefault="000049FB" w:rsidP="000049FB">
      <w:pPr>
        <w:pStyle w:val="ListParagraph"/>
        <w:numPr>
          <w:ilvl w:val="0"/>
          <w:numId w:val="6"/>
        </w:numPr>
        <w:jc w:val="both"/>
      </w:pPr>
      <w:r>
        <w:t>CVD can be valued on MRP if goods are under MRP provisions.</w:t>
      </w:r>
    </w:p>
    <w:p w:rsidR="000049FB" w:rsidRDefault="000049FB" w:rsidP="000049FB">
      <w:pPr>
        <w:pStyle w:val="ListParagraph"/>
        <w:numPr>
          <w:ilvl w:val="0"/>
          <w:numId w:val="6"/>
        </w:numPr>
        <w:jc w:val="both"/>
      </w:pPr>
      <w:r>
        <w:t>The duty is livable on value of goods plus custom duty payable.</w:t>
      </w:r>
    </w:p>
    <w:p w:rsidR="000049FB" w:rsidRDefault="000049FB" w:rsidP="000049FB">
      <w:pPr>
        <w:pStyle w:val="ListParagraph"/>
        <w:numPr>
          <w:ilvl w:val="0"/>
          <w:numId w:val="6"/>
        </w:numPr>
        <w:jc w:val="both"/>
      </w:pPr>
      <w:r w:rsidRPr="00C422E5">
        <w:rPr>
          <w:b/>
        </w:rPr>
        <w:t>Note: Education and HSEC on CVD is exempted w.e.f 17.03.2012</w:t>
      </w:r>
    </w:p>
    <w:p w:rsidR="000049FB" w:rsidRPr="00FD4DF3" w:rsidRDefault="000049FB" w:rsidP="000049FB">
      <w:pPr>
        <w:jc w:val="both"/>
        <w:rPr>
          <w:b/>
        </w:rPr>
      </w:pPr>
      <w:r w:rsidRPr="00FD4DF3">
        <w:rPr>
          <w:b/>
        </w:rPr>
        <w:t>Additional custom duty u/s 3(5) Special CVD (SAD)</w:t>
      </w:r>
    </w:p>
    <w:p w:rsidR="000049FB" w:rsidRDefault="000049FB" w:rsidP="000049FB">
      <w:pPr>
        <w:pStyle w:val="ListParagraph"/>
        <w:numPr>
          <w:ilvl w:val="0"/>
          <w:numId w:val="7"/>
        </w:numPr>
        <w:jc w:val="both"/>
      </w:pPr>
      <w:r>
        <w:t>CVD cannot exceed 4% of value of that article</w:t>
      </w:r>
    </w:p>
    <w:p w:rsidR="000049FB" w:rsidRDefault="000049FB" w:rsidP="000049FB">
      <w:pPr>
        <w:pStyle w:val="ListParagraph"/>
        <w:numPr>
          <w:ilvl w:val="0"/>
          <w:numId w:val="7"/>
        </w:numPr>
        <w:jc w:val="both"/>
      </w:pPr>
      <w:r>
        <w:t>Purpose of the additional duty u/s 3(5) is to counter balance sales tax, Vat, local tax and other charges leviable on articles on its sale, purchase or transaction in India.</w:t>
      </w:r>
    </w:p>
    <w:p w:rsidR="000049FB" w:rsidRDefault="000049FB" w:rsidP="000049FB">
      <w:pPr>
        <w:pStyle w:val="ListParagraph"/>
        <w:numPr>
          <w:ilvl w:val="0"/>
          <w:numId w:val="7"/>
        </w:numPr>
        <w:jc w:val="both"/>
      </w:pPr>
      <w:r>
        <w:t>It is leviable as to provide level playing field to manufacturers in India who are manufacturing similar goods.</w:t>
      </w:r>
    </w:p>
    <w:p w:rsidR="000049FB" w:rsidRPr="00FD4DF3" w:rsidRDefault="000049FB" w:rsidP="000049FB">
      <w:pPr>
        <w:jc w:val="both"/>
        <w:rPr>
          <w:b/>
        </w:rPr>
      </w:pPr>
      <w:r w:rsidRPr="00FD4DF3">
        <w:rPr>
          <w:b/>
        </w:rPr>
        <w:t>Exemption from SAD or refund of SAD</w:t>
      </w:r>
    </w:p>
    <w:p w:rsidR="000049FB" w:rsidRDefault="000049FB" w:rsidP="000049FB">
      <w:pPr>
        <w:pStyle w:val="ListParagraph"/>
        <w:numPr>
          <w:ilvl w:val="0"/>
          <w:numId w:val="8"/>
        </w:numPr>
        <w:jc w:val="both"/>
      </w:pPr>
      <w:r>
        <w:t>Goods on which excise duty is payable on basis of MRP price</w:t>
      </w:r>
    </w:p>
    <w:p w:rsidR="000049FB" w:rsidRDefault="000049FB" w:rsidP="000049FB">
      <w:pPr>
        <w:pStyle w:val="ListParagraph"/>
        <w:numPr>
          <w:ilvl w:val="0"/>
          <w:numId w:val="8"/>
        </w:numPr>
        <w:jc w:val="both"/>
      </w:pPr>
      <w:r>
        <w:t>Patient and proprietary medicines</w:t>
      </w:r>
    </w:p>
    <w:p w:rsidR="000049FB" w:rsidRDefault="000049FB" w:rsidP="000049FB">
      <w:pPr>
        <w:pStyle w:val="ListParagraph"/>
        <w:numPr>
          <w:ilvl w:val="0"/>
          <w:numId w:val="8"/>
        </w:numPr>
        <w:jc w:val="both"/>
      </w:pPr>
      <w:r>
        <w:t>Readymade garments</w:t>
      </w:r>
    </w:p>
    <w:p w:rsidR="000049FB" w:rsidRDefault="000049FB" w:rsidP="000049FB">
      <w:pPr>
        <w:pStyle w:val="ListParagraph"/>
        <w:numPr>
          <w:ilvl w:val="0"/>
          <w:numId w:val="8"/>
        </w:numPr>
        <w:jc w:val="both"/>
      </w:pPr>
      <w:r>
        <w:t>Passenger baggage</w:t>
      </w:r>
    </w:p>
    <w:p w:rsidR="000049FB" w:rsidRDefault="000049FB" w:rsidP="000049FB">
      <w:pPr>
        <w:pStyle w:val="ListParagraph"/>
        <w:numPr>
          <w:ilvl w:val="0"/>
          <w:numId w:val="8"/>
        </w:numPr>
        <w:jc w:val="both"/>
      </w:pPr>
      <w:r>
        <w:t>Goods exempt from custom duty</w:t>
      </w:r>
    </w:p>
    <w:p w:rsidR="000049FB" w:rsidRDefault="000049FB" w:rsidP="000049FB">
      <w:pPr>
        <w:pStyle w:val="ListParagraph"/>
        <w:numPr>
          <w:ilvl w:val="0"/>
          <w:numId w:val="8"/>
        </w:numPr>
        <w:jc w:val="both"/>
      </w:pPr>
      <w:r>
        <w:t>Project imports</w:t>
      </w:r>
    </w:p>
    <w:p w:rsidR="000049FB" w:rsidRDefault="000049FB" w:rsidP="000049FB">
      <w:pPr>
        <w:pStyle w:val="ListParagraph"/>
        <w:numPr>
          <w:ilvl w:val="0"/>
          <w:numId w:val="8"/>
        </w:numPr>
        <w:jc w:val="both"/>
      </w:pPr>
      <w:r>
        <w:t>Articles of jewellary attracts a lower rate of SAD @1%</w:t>
      </w:r>
    </w:p>
    <w:p w:rsidR="000049FB" w:rsidRPr="00FD4DF3" w:rsidRDefault="000049FB" w:rsidP="000049FB">
      <w:pPr>
        <w:jc w:val="both"/>
        <w:rPr>
          <w:b/>
          <w:u w:val="single"/>
        </w:rPr>
      </w:pPr>
      <w:r w:rsidRPr="00FD4DF3">
        <w:rPr>
          <w:b/>
          <w:u w:val="single"/>
        </w:rPr>
        <w:t>PROTECTIVE DUTIES</w:t>
      </w:r>
    </w:p>
    <w:p w:rsidR="000049FB" w:rsidRPr="00FD4DF3" w:rsidRDefault="000049FB" w:rsidP="000049FB">
      <w:pPr>
        <w:jc w:val="both"/>
        <w:rPr>
          <w:b/>
        </w:rPr>
      </w:pPr>
      <w:r w:rsidRPr="00FD4DF3">
        <w:rPr>
          <w:b/>
        </w:rPr>
        <w:t>Countervailing Duty on Subsidized Goods</w:t>
      </w:r>
    </w:p>
    <w:p w:rsidR="000049FB" w:rsidRDefault="000049FB" w:rsidP="000049FB">
      <w:pPr>
        <w:pStyle w:val="ListParagraph"/>
        <w:numPr>
          <w:ilvl w:val="0"/>
          <w:numId w:val="9"/>
        </w:numPr>
        <w:jc w:val="both"/>
      </w:pPr>
      <w:r>
        <w:t>If a country or territory pays any subsidy (directly or indirectly) to its exports for exporting goods in India, central Govt. can impose countervailing duty upto the amount of such subsidy u/s 9 of CUTA</w:t>
      </w:r>
    </w:p>
    <w:p w:rsidR="000049FB" w:rsidRDefault="000049FB" w:rsidP="000049FB">
      <w:pPr>
        <w:pStyle w:val="ListParagraph"/>
        <w:numPr>
          <w:ilvl w:val="0"/>
          <w:numId w:val="9"/>
        </w:numPr>
        <w:jc w:val="both"/>
      </w:pPr>
    </w:p>
    <w:p w:rsidR="000049FB" w:rsidRDefault="000049FB" w:rsidP="000049FB">
      <w:pPr>
        <w:pStyle w:val="ListParagraph"/>
        <w:numPr>
          <w:ilvl w:val="0"/>
          <w:numId w:val="9"/>
        </w:numPr>
        <w:jc w:val="both"/>
      </w:pPr>
      <w:r>
        <w:t>No education cess or HSEC on subsidized goods</w:t>
      </w:r>
    </w:p>
    <w:p w:rsidR="000049FB" w:rsidRPr="00FD4DF3" w:rsidRDefault="000049FB" w:rsidP="000049FB">
      <w:pPr>
        <w:jc w:val="both"/>
        <w:rPr>
          <w:b/>
        </w:rPr>
      </w:pPr>
      <w:r w:rsidRPr="00FD4DF3">
        <w:rPr>
          <w:b/>
        </w:rPr>
        <w:t>Anti dumping duties on dumped articles</w:t>
      </w:r>
    </w:p>
    <w:p w:rsidR="000049FB" w:rsidRDefault="000049FB" w:rsidP="000049FB">
      <w:pPr>
        <w:pStyle w:val="ListParagraph"/>
        <w:numPr>
          <w:ilvl w:val="0"/>
          <w:numId w:val="10"/>
        </w:numPr>
        <w:jc w:val="both"/>
      </w:pPr>
      <w:r>
        <w:t xml:space="preserve">Often, large manufacturers from abroad may export goods at very low price compared to prices normally prevalent in export market. Such dumping may be with intention to cripple domestic industry. This is called ‘dumping’ and is an unfair trade practice. </w:t>
      </w:r>
    </w:p>
    <w:p w:rsidR="000049FB" w:rsidRDefault="000049FB" w:rsidP="000049FB">
      <w:pPr>
        <w:pStyle w:val="ListParagraph"/>
        <w:numPr>
          <w:ilvl w:val="0"/>
          <w:numId w:val="10"/>
        </w:numPr>
        <w:jc w:val="both"/>
      </w:pPr>
      <w:r>
        <w:t>In order to avoid such dumping and to protect domestic industry, central govt. can impose anti dumping duty u/s 9 of CUTA.</w:t>
      </w:r>
    </w:p>
    <w:p w:rsidR="000049FB" w:rsidRDefault="000049FB" w:rsidP="000049FB">
      <w:pPr>
        <w:pStyle w:val="ListParagraph"/>
        <w:numPr>
          <w:ilvl w:val="0"/>
          <w:numId w:val="10"/>
        </w:numPr>
        <w:jc w:val="both"/>
      </w:pPr>
      <w:r>
        <w:t xml:space="preserve">The antidumping duty will be </w:t>
      </w:r>
      <w:r w:rsidRPr="003E5F48">
        <w:rPr>
          <w:b/>
          <w:i/>
        </w:rPr>
        <w:t>dumping margin</w:t>
      </w:r>
      <w:r>
        <w:t xml:space="preserve"> or </w:t>
      </w:r>
      <w:r w:rsidRPr="003E5F48">
        <w:rPr>
          <w:b/>
          <w:i/>
        </w:rPr>
        <w:t>injury margin</w:t>
      </w:r>
      <w:r>
        <w:t xml:space="preserve">, whichever is </w:t>
      </w:r>
      <w:r w:rsidRPr="00021905">
        <w:rPr>
          <w:b/>
          <w:i/>
        </w:rPr>
        <w:t>lower.</w:t>
      </w:r>
      <w:r>
        <w:br/>
      </w:r>
    </w:p>
    <w:p w:rsidR="000049FB" w:rsidRDefault="000049FB" w:rsidP="000049FB">
      <w:pPr>
        <w:pStyle w:val="ListParagraph"/>
        <w:numPr>
          <w:ilvl w:val="0"/>
          <w:numId w:val="11"/>
        </w:numPr>
        <w:ind w:left="1710"/>
        <w:jc w:val="both"/>
      </w:pPr>
      <w:r>
        <w:lastRenderedPageBreak/>
        <w:t>Dumping margin means the difference between normal value in the export country and export price (i.e. the price at which these goods are exported)</w:t>
      </w:r>
    </w:p>
    <w:p w:rsidR="000049FB" w:rsidRDefault="000049FB" w:rsidP="000049FB">
      <w:pPr>
        <w:pStyle w:val="ListParagraph"/>
        <w:numPr>
          <w:ilvl w:val="0"/>
          <w:numId w:val="11"/>
        </w:numPr>
        <w:ind w:left="1710"/>
        <w:jc w:val="both"/>
      </w:pPr>
      <w:r>
        <w:t>Injury margin means difference between fair selling price of domestic industry and landed cost of imported goods.</w:t>
      </w:r>
    </w:p>
    <w:p w:rsidR="000049FB" w:rsidRPr="003E5F48" w:rsidRDefault="000049FB" w:rsidP="000049FB">
      <w:pPr>
        <w:jc w:val="both"/>
        <w:rPr>
          <w:b/>
        </w:rPr>
      </w:pPr>
      <w:r w:rsidRPr="003E5F48">
        <w:rPr>
          <w:b/>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475"/>
        <w:gridCol w:w="5011"/>
      </w:tblGrid>
      <w:tr w:rsidR="000049FB" w:rsidTr="00393930">
        <w:trPr>
          <w:trHeight w:val="267"/>
        </w:trPr>
        <w:tc>
          <w:tcPr>
            <w:tcW w:w="4475" w:type="dxa"/>
          </w:tcPr>
          <w:p w:rsidR="000049FB" w:rsidRPr="003E5F48" w:rsidRDefault="000049FB" w:rsidP="00393930">
            <w:pPr>
              <w:jc w:val="both"/>
              <w:rPr>
                <w:b/>
                <w:i/>
              </w:rPr>
            </w:pPr>
            <w:r w:rsidRPr="003E5F48">
              <w:rPr>
                <w:b/>
                <w:i/>
              </w:rPr>
              <w:t>Dumping margin</w:t>
            </w:r>
          </w:p>
        </w:tc>
        <w:tc>
          <w:tcPr>
            <w:tcW w:w="5010" w:type="dxa"/>
          </w:tcPr>
          <w:p w:rsidR="000049FB" w:rsidRPr="003E5F48" w:rsidRDefault="000049FB" w:rsidP="00393930">
            <w:pPr>
              <w:jc w:val="both"/>
              <w:rPr>
                <w:b/>
                <w:i/>
              </w:rPr>
            </w:pPr>
            <w:r w:rsidRPr="003E5F48">
              <w:rPr>
                <w:b/>
                <w:i/>
              </w:rPr>
              <w:t>Injury margin</w:t>
            </w:r>
          </w:p>
        </w:tc>
      </w:tr>
      <w:tr w:rsidR="000049FB" w:rsidTr="00393930">
        <w:trPr>
          <w:trHeight w:val="802"/>
        </w:trPr>
        <w:tc>
          <w:tcPr>
            <w:tcW w:w="4475" w:type="dxa"/>
          </w:tcPr>
          <w:p w:rsidR="000049FB" w:rsidRDefault="000049FB" w:rsidP="00393930">
            <w:pPr>
              <w:jc w:val="both"/>
            </w:pPr>
            <w:r>
              <w:t>Normal value in export country say Rs.11.00</w:t>
            </w:r>
          </w:p>
          <w:p w:rsidR="000049FB" w:rsidRDefault="000049FB" w:rsidP="00393930">
            <w:pPr>
              <w:jc w:val="both"/>
            </w:pPr>
            <w:r>
              <w:t>Export price Rs.8.00</w:t>
            </w:r>
          </w:p>
          <w:p w:rsidR="000049FB" w:rsidRDefault="000049FB" w:rsidP="00393930">
            <w:pPr>
              <w:jc w:val="both"/>
            </w:pPr>
            <w:r>
              <w:t>Dumping margin = Rs. (11.00-8.00)= Rs.3.00</w:t>
            </w:r>
          </w:p>
        </w:tc>
        <w:tc>
          <w:tcPr>
            <w:tcW w:w="5010" w:type="dxa"/>
          </w:tcPr>
          <w:p w:rsidR="000049FB" w:rsidRDefault="000049FB" w:rsidP="00393930">
            <w:pPr>
              <w:jc w:val="both"/>
            </w:pPr>
            <w:r>
              <w:t>Landed cost of product say Rs.9.00</w:t>
            </w:r>
          </w:p>
          <w:p w:rsidR="000049FB" w:rsidRDefault="000049FB" w:rsidP="00393930">
            <w:pPr>
              <w:jc w:val="both"/>
            </w:pPr>
            <w:r>
              <w:t>Fair selling price of domestic industry is Rs.10.00</w:t>
            </w:r>
          </w:p>
          <w:p w:rsidR="000049FB" w:rsidRDefault="000049FB" w:rsidP="00393930">
            <w:pPr>
              <w:jc w:val="both"/>
            </w:pPr>
            <w:r>
              <w:t>Injury margin = Rs(Rs10.00-9.00)= Rs.1.00s</w:t>
            </w:r>
          </w:p>
        </w:tc>
      </w:tr>
      <w:tr w:rsidR="000049FB" w:rsidTr="00393930">
        <w:trPr>
          <w:trHeight w:val="535"/>
        </w:trPr>
        <w:tc>
          <w:tcPr>
            <w:tcW w:w="9486" w:type="dxa"/>
            <w:gridSpan w:val="2"/>
          </w:tcPr>
          <w:p w:rsidR="000049FB" w:rsidRPr="00021905" w:rsidRDefault="000049FB" w:rsidP="00393930">
            <w:pPr>
              <w:jc w:val="both"/>
            </w:pPr>
          </w:p>
          <w:p w:rsidR="000049FB" w:rsidRPr="00021905" w:rsidRDefault="000049FB" w:rsidP="00393930">
            <w:pPr>
              <w:jc w:val="both"/>
              <w:rPr>
                <w:b/>
              </w:rPr>
            </w:pPr>
            <w:r w:rsidRPr="00021905">
              <w:rPr>
                <w:b/>
              </w:rPr>
              <w:t>So, anti dumping duty is only Rs.1.00 can be imposed</w:t>
            </w:r>
          </w:p>
        </w:tc>
      </w:tr>
    </w:tbl>
    <w:p w:rsidR="000049FB" w:rsidRPr="00021905" w:rsidRDefault="000049FB" w:rsidP="000049FB">
      <w:pPr>
        <w:jc w:val="both"/>
        <w:rPr>
          <w:b/>
        </w:rPr>
      </w:pPr>
      <w:r>
        <w:rPr>
          <w:b/>
        </w:rPr>
        <w:br/>
      </w:r>
      <w:r w:rsidRPr="00021905">
        <w:rPr>
          <w:b/>
        </w:rPr>
        <w:t>Safe Guard Duties</w:t>
      </w:r>
    </w:p>
    <w:p w:rsidR="000049FB" w:rsidRDefault="000049FB" w:rsidP="000049FB">
      <w:pPr>
        <w:pStyle w:val="ListParagraph"/>
        <w:numPr>
          <w:ilvl w:val="0"/>
          <w:numId w:val="12"/>
        </w:numPr>
        <w:jc w:val="both"/>
      </w:pPr>
      <w:r>
        <w:t>Central govt. is empowered to impose ‘safe guard duty’ on specified imported goods if central govt. is satisfied that the goods are being imported in large quantities and under such conditions that they are causing or threatening to cause serious injury to domestic industry.</w:t>
      </w:r>
    </w:p>
    <w:p w:rsidR="000049FB" w:rsidRDefault="000049FB" w:rsidP="000049FB">
      <w:pPr>
        <w:pStyle w:val="ListParagraph"/>
        <w:numPr>
          <w:ilvl w:val="0"/>
          <w:numId w:val="12"/>
        </w:numPr>
        <w:jc w:val="both"/>
      </w:pPr>
      <w:r>
        <w:t>Safeguard duty can be imposed if imports from that country exceeds 3%</w:t>
      </w:r>
    </w:p>
    <w:p w:rsidR="000049FB" w:rsidRPr="00DD4FC6" w:rsidRDefault="000049FB" w:rsidP="000049FB">
      <w:pPr>
        <w:jc w:val="both"/>
        <w:rPr>
          <w:b/>
        </w:rPr>
      </w:pPr>
      <w:r w:rsidRPr="00DD4FC6">
        <w:rPr>
          <w:b/>
        </w:rPr>
        <w:t>NCCD</w:t>
      </w:r>
    </w:p>
    <w:p w:rsidR="000049FB" w:rsidRDefault="000049FB" w:rsidP="000049FB">
      <w:pPr>
        <w:jc w:val="both"/>
      </w:pPr>
      <w:r>
        <w:t>Discussed in excise</w:t>
      </w:r>
    </w:p>
    <w:p w:rsidR="000049FB" w:rsidRDefault="000049FB" w:rsidP="000049FB">
      <w:pPr>
        <w:jc w:val="both"/>
      </w:pPr>
    </w:p>
    <w:p w:rsidR="00985FB4" w:rsidRDefault="00985FB4"/>
    <w:sectPr w:rsidR="00985FB4" w:rsidSect="00985FB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FF1" w:rsidRDefault="00F20FF1" w:rsidP="000049FB">
      <w:pPr>
        <w:spacing w:after="0" w:line="240" w:lineRule="auto"/>
      </w:pPr>
      <w:r>
        <w:separator/>
      </w:r>
    </w:p>
  </w:endnote>
  <w:endnote w:type="continuationSeparator" w:id="1">
    <w:p w:rsidR="00F20FF1" w:rsidRDefault="00F20FF1" w:rsidP="00004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9FB" w:rsidRDefault="000049FB">
    <w:pPr>
      <w:pStyle w:val="Footer"/>
    </w:pPr>
    <w:r>
      <w:t>Jasabanta Sahu</w:t>
    </w:r>
  </w:p>
  <w:p w:rsidR="000049FB" w:rsidRDefault="000049FB">
    <w:pPr>
      <w:pStyle w:val="Footer"/>
    </w:pPr>
    <w:r>
      <w:t>CMA Final Contd.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FF1" w:rsidRDefault="00F20FF1" w:rsidP="000049FB">
      <w:pPr>
        <w:spacing w:after="0" w:line="240" w:lineRule="auto"/>
      </w:pPr>
      <w:r>
        <w:separator/>
      </w:r>
    </w:p>
  </w:footnote>
  <w:footnote w:type="continuationSeparator" w:id="1">
    <w:p w:rsidR="00F20FF1" w:rsidRDefault="00F20FF1" w:rsidP="000049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268D2"/>
    <w:multiLevelType w:val="hybridMultilevel"/>
    <w:tmpl w:val="18E8E7B6"/>
    <w:lvl w:ilvl="0" w:tplc="F8464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426AB"/>
    <w:multiLevelType w:val="hybridMultilevel"/>
    <w:tmpl w:val="348E77E8"/>
    <w:lvl w:ilvl="0" w:tplc="F8464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8796A"/>
    <w:multiLevelType w:val="hybridMultilevel"/>
    <w:tmpl w:val="442A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42033"/>
    <w:multiLevelType w:val="hybridMultilevel"/>
    <w:tmpl w:val="EAF429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98442DD"/>
    <w:multiLevelType w:val="hybridMultilevel"/>
    <w:tmpl w:val="D9C4E91E"/>
    <w:lvl w:ilvl="0" w:tplc="C82A9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A746D6"/>
    <w:multiLevelType w:val="hybridMultilevel"/>
    <w:tmpl w:val="6728FBFA"/>
    <w:lvl w:ilvl="0" w:tplc="F8464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45031"/>
    <w:multiLevelType w:val="hybridMultilevel"/>
    <w:tmpl w:val="98961B54"/>
    <w:lvl w:ilvl="0" w:tplc="F8464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D272C"/>
    <w:multiLevelType w:val="hybridMultilevel"/>
    <w:tmpl w:val="9CA00B76"/>
    <w:lvl w:ilvl="0" w:tplc="F8464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81C6B"/>
    <w:multiLevelType w:val="hybridMultilevel"/>
    <w:tmpl w:val="D304D810"/>
    <w:lvl w:ilvl="0" w:tplc="04090005">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
    <w:nsid w:val="5D787BE1"/>
    <w:multiLevelType w:val="hybridMultilevel"/>
    <w:tmpl w:val="FDB2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864DB7"/>
    <w:multiLevelType w:val="hybridMultilevel"/>
    <w:tmpl w:val="560EC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C0279"/>
    <w:multiLevelType w:val="hybridMultilevel"/>
    <w:tmpl w:val="3134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7"/>
  </w:num>
  <w:num w:numId="5">
    <w:abstractNumId w:val="4"/>
  </w:num>
  <w:num w:numId="6">
    <w:abstractNumId w:val="3"/>
  </w:num>
  <w:num w:numId="7">
    <w:abstractNumId w:val="2"/>
  </w:num>
  <w:num w:numId="8">
    <w:abstractNumId w:val="11"/>
  </w:num>
  <w:num w:numId="9">
    <w:abstractNumId w:val="5"/>
  </w:num>
  <w:num w:numId="10">
    <w:abstractNumId w:val="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49FB"/>
    <w:rsid w:val="000049FB"/>
    <w:rsid w:val="000E4178"/>
    <w:rsid w:val="003A78F9"/>
    <w:rsid w:val="009413B3"/>
    <w:rsid w:val="00985FB4"/>
    <w:rsid w:val="00AB5B6F"/>
    <w:rsid w:val="00B07A8F"/>
    <w:rsid w:val="00C47F12"/>
    <w:rsid w:val="00F20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1"/>
        <o:r id="V:Rule3" type="connector" idref="#_x0000_s1034"/>
        <o:r id="V:Rule4" type="connector" idref="#_x0000_s1026"/>
        <o:r id="V:Rule5" type="connector" idref="#_x0000_s1033"/>
        <o:r id="V:Rule6" type="connector" idref="#_x0000_s1035"/>
        <o:r id="V:Rule7" type="connector" idref="#_x0000_s1032"/>
        <o:r id="V:Rule8" type="connector" idref="#_x0000_s1030"/>
        <o:r id="V:Rule9"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9FB"/>
    <w:pPr>
      <w:ind w:left="720"/>
      <w:contextualSpacing/>
    </w:pPr>
  </w:style>
  <w:style w:type="table" w:styleId="TableGrid">
    <w:name w:val="Table Grid"/>
    <w:basedOn w:val="TableNormal"/>
    <w:uiPriority w:val="59"/>
    <w:rsid w:val="000049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049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49FB"/>
  </w:style>
  <w:style w:type="paragraph" w:styleId="Footer">
    <w:name w:val="footer"/>
    <w:basedOn w:val="Normal"/>
    <w:link w:val="FooterChar"/>
    <w:uiPriority w:val="99"/>
    <w:semiHidden/>
    <w:unhideWhenUsed/>
    <w:rsid w:val="000049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49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5280</Characters>
  <Application>Microsoft Office Word</Application>
  <DocSecurity>0</DocSecurity>
  <Lines>44</Lines>
  <Paragraphs>12</Paragraphs>
  <ScaleCrop>false</ScaleCrop>
  <Company>Home</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pergromme</dc:creator>
  <cp:keywords/>
  <dc:description/>
  <cp:lastModifiedBy>pergromme</cp:lastModifiedBy>
  <cp:revision>1</cp:revision>
  <dcterms:created xsi:type="dcterms:W3CDTF">2013-09-06T18:42:00Z</dcterms:created>
  <dcterms:modified xsi:type="dcterms:W3CDTF">2013-09-06T18:43:00Z</dcterms:modified>
</cp:coreProperties>
</file>